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4ED81D12" w:rsidR="00F17F5E" w:rsidRDefault="00F17F5E" w:rsidP="00F17F5E">
      <w:pPr>
        <w:pStyle w:val="3GPPHeader"/>
        <w:spacing w:after="60"/>
      </w:pPr>
      <w:r>
        <w:t>3GPP TSG-RAN WG1 Meeting #</w:t>
      </w:r>
      <w:r w:rsidR="00D53AC8">
        <w:t>10</w:t>
      </w:r>
      <w:r w:rsidR="000621B5">
        <w:t>8</w:t>
      </w:r>
      <w:r w:rsidR="00A61757">
        <w:t>-</w:t>
      </w:r>
      <w:r w:rsidR="00CF4F41">
        <w:t>e</w:t>
      </w:r>
      <w:r>
        <w:tab/>
      </w:r>
      <w:r w:rsidR="000A1278" w:rsidRPr="000A1278">
        <w:t>R1-</w:t>
      </w:r>
      <w:r w:rsidR="00BE6E01">
        <w:t>2202279</w:t>
      </w:r>
    </w:p>
    <w:p w14:paraId="492457AB" w14:textId="740C1AED" w:rsidR="00B0348E" w:rsidRPr="00CB5CA6" w:rsidRDefault="001B2831" w:rsidP="00F17F5E">
      <w:pPr>
        <w:pStyle w:val="3GPPHeader"/>
        <w:spacing w:after="60"/>
      </w:pPr>
      <w:r>
        <w:t>e-Meeting</w:t>
      </w:r>
      <w:r w:rsidR="00D53AC8" w:rsidRPr="00D53AC8">
        <w:t xml:space="preserve">, </w:t>
      </w:r>
      <w:r w:rsidR="000621B5">
        <w:t>February</w:t>
      </w:r>
      <w:r w:rsidR="00B75A02" w:rsidRPr="00B75A02">
        <w:t xml:space="preserve"> </w:t>
      </w:r>
      <w:r w:rsidR="000621B5">
        <w:t>21</w:t>
      </w:r>
      <w:r w:rsidR="000621B5" w:rsidRPr="000621B5">
        <w:rPr>
          <w:vertAlign w:val="superscript"/>
        </w:rPr>
        <w:t>st</w:t>
      </w:r>
      <w:r w:rsidR="00B75A02" w:rsidRPr="00B75A02">
        <w:t xml:space="preserve"> – </w:t>
      </w:r>
      <w:r w:rsidR="000621B5">
        <w:t>March 3</w:t>
      </w:r>
      <w:r w:rsidR="000621B5" w:rsidRPr="000621B5">
        <w:rPr>
          <w:vertAlign w:val="superscript"/>
        </w:rPr>
        <w:t>rd</w:t>
      </w:r>
      <w:r w:rsidR="00B75A02" w:rsidRPr="00B75A02">
        <w:t>, 202</w:t>
      </w:r>
      <w:r w:rsidR="004F2013">
        <w:t>2</w:t>
      </w:r>
    </w:p>
    <w:p w14:paraId="60A5317D" w14:textId="77777777" w:rsidR="00E90E49" w:rsidRPr="00CB5CA6" w:rsidRDefault="00E90E49" w:rsidP="00357380">
      <w:pPr>
        <w:pStyle w:val="3GPPHeader"/>
      </w:pPr>
    </w:p>
    <w:p w14:paraId="3C6869D1" w14:textId="0C9E0A1C"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194BA9">
        <w:rPr>
          <w:sz w:val="22"/>
          <w:szCs w:val="22"/>
          <w:lang w:val="en-US"/>
        </w:rPr>
        <w:t>8</w:t>
      </w:r>
      <w:r w:rsidR="00615904" w:rsidRPr="00500A64">
        <w:rPr>
          <w:sz w:val="22"/>
          <w:szCs w:val="22"/>
          <w:lang w:val="en-US"/>
        </w:rPr>
        <w:t>.</w:t>
      </w:r>
      <w:r w:rsidR="00194BA9">
        <w:rPr>
          <w:sz w:val="22"/>
          <w:szCs w:val="22"/>
          <w:lang w:val="en-US"/>
        </w:rPr>
        <w:t>16</w:t>
      </w:r>
      <w:r w:rsidR="00615904" w:rsidRPr="00500A64">
        <w:rPr>
          <w:sz w:val="22"/>
          <w:szCs w:val="22"/>
          <w:lang w:val="en-US"/>
        </w:rPr>
        <w:t>.</w:t>
      </w:r>
      <w:r w:rsidR="00194BA9">
        <w:rPr>
          <w:sz w:val="22"/>
          <w:szCs w:val="22"/>
          <w:lang w:val="en-US"/>
        </w:rPr>
        <w:t>9</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F3067C6"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956021" w:rsidRPr="00956021">
        <w:rPr>
          <w:sz w:val="22"/>
          <w:szCs w:val="22"/>
        </w:rPr>
        <w:t>UE features for NB-IoT and LTE-MTC enhancements</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51EE32F6"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 xml:space="preserve">Rel-17 </w:t>
      </w:r>
      <w:r w:rsidRPr="00956021">
        <w:rPr>
          <w:rFonts w:ascii="Times New Roman" w:hAnsi="Times New Roman"/>
        </w:rPr>
        <w:t>Work Item (WI) on “Additional enhancements for NB-IoT and LTE-MTC” [1</w:t>
      </w:r>
      <w:r w:rsidR="005918B3">
        <w:rPr>
          <w:rFonts w:ascii="Times New Roman" w:hAnsi="Times New Roman"/>
        </w:rPr>
        <w:t xml:space="preserve">] </w:t>
      </w:r>
      <w:r w:rsidR="0090011D">
        <w:rPr>
          <w:rFonts w:ascii="Times New Roman" w:hAnsi="Times New Roman"/>
        </w:rPr>
        <w:t xml:space="preserve">is approaching </w:t>
      </w:r>
      <w:r w:rsidR="001A4851">
        <w:rPr>
          <w:rFonts w:ascii="Times New Roman" w:hAnsi="Times New Roman"/>
        </w:rPr>
        <w:t xml:space="preserve">its </w:t>
      </w:r>
      <w:r w:rsidR="0090011D">
        <w:rPr>
          <w:rFonts w:ascii="Times New Roman" w:hAnsi="Times New Roman"/>
        </w:rPr>
        <w:t>finalization</w:t>
      </w:r>
      <w:r w:rsidRPr="00956021">
        <w:rPr>
          <w:rFonts w:ascii="Times New Roman" w:hAnsi="Times New Roman"/>
        </w:rPr>
        <w:t>.</w:t>
      </w:r>
    </w:p>
    <w:p w14:paraId="4124D373" w14:textId="37E973CD" w:rsidR="00956021" w:rsidRDefault="005918B3" w:rsidP="00956021">
      <w:pPr>
        <w:pStyle w:val="BodyText"/>
        <w:rPr>
          <w:rFonts w:ascii="Times New Roman" w:hAnsi="Times New Roman"/>
        </w:rPr>
      </w:pPr>
      <w:r>
        <w:rPr>
          <w:rFonts w:ascii="Times New Roman" w:hAnsi="Times New Roman"/>
        </w:rPr>
        <w:t xml:space="preserve">In </w:t>
      </w:r>
      <w:r w:rsidR="003A655F">
        <w:rPr>
          <w:rFonts w:ascii="Times New Roman" w:hAnsi="Times New Roman"/>
        </w:rPr>
        <w:t xml:space="preserve">this contribution we provide our views on the </w:t>
      </w:r>
      <w:r w:rsidR="003A655F" w:rsidRPr="003A655F">
        <w:rPr>
          <w:rFonts w:ascii="Times New Roman" w:hAnsi="Times New Roman"/>
        </w:rPr>
        <w:t>RAN1 UE features list</w:t>
      </w:r>
      <w:r w:rsidR="003A655F">
        <w:rPr>
          <w:rFonts w:ascii="Times New Roman" w:hAnsi="Times New Roman"/>
        </w:rPr>
        <w:t xml:space="preserve"> for NB-IoT and LTE-MTC</w:t>
      </w:r>
      <w:r>
        <w:rPr>
          <w:rFonts w:ascii="Times New Roman" w:hAnsi="Times New Roman"/>
        </w:rPr>
        <w:t xml:space="preserve"> using as reference the latest version </w:t>
      </w:r>
      <w:r w:rsidR="007A699D">
        <w:rPr>
          <w:rFonts w:ascii="Times New Roman" w:hAnsi="Times New Roman"/>
        </w:rPr>
        <w:t xml:space="preserve">of the Moderator’s summary </w:t>
      </w:r>
      <w:r w:rsidRPr="007A699D">
        <w:rPr>
          <w:rFonts w:ascii="Times New Roman" w:hAnsi="Times New Roman"/>
        </w:rPr>
        <w:t xml:space="preserve">in </w:t>
      </w:r>
      <w:hyperlink r:id="rId13" w:history="1">
        <w:r w:rsidR="007A699D" w:rsidRPr="007A699D">
          <w:rPr>
            <w:rStyle w:val="Hyperlink"/>
            <w:rFonts w:ascii="Times New Roman" w:hAnsi="Times New Roman"/>
            <w:lang w:val="en-US" w:eastAsia="ja-JP"/>
          </w:rPr>
          <w:t>R1-2112142</w:t>
        </w:r>
      </w:hyperlink>
      <w:r w:rsidR="00576528">
        <w:rPr>
          <w:rFonts w:ascii="Times New Roman" w:hAnsi="Times New Roman"/>
          <w:lang w:val="en-US" w:eastAsia="ja-JP"/>
        </w:rPr>
        <w:t xml:space="preserve"> [</w:t>
      </w:r>
      <w:r w:rsidR="00E21837">
        <w:rPr>
          <w:rFonts w:ascii="Times New Roman" w:hAnsi="Times New Roman"/>
          <w:lang w:val="en-US" w:eastAsia="ja-JP"/>
        </w:rPr>
        <w:t>2</w:t>
      </w:r>
      <w:r w:rsidR="00576528">
        <w:rPr>
          <w:rFonts w:ascii="Times New Roman" w:hAnsi="Times New Roman"/>
          <w:lang w:val="en-US" w:eastAsia="ja-JP"/>
        </w:rPr>
        <w:t>]</w:t>
      </w:r>
      <w:r w:rsidR="00CC46CE">
        <w:rPr>
          <w:rFonts w:ascii="Times New Roman" w:hAnsi="Times New Roman"/>
        </w:rPr>
        <w:t xml:space="preserve"> and the </w:t>
      </w:r>
      <w:r w:rsidR="00D81765">
        <w:rPr>
          <w:rFonts w:ascii="Times New Roman" w:hAnsi="Times New Roman"/>
        </w:rPr>
        <w:t>updated UE feature list</w:t>
      </w:r>
      <w:r w:rsidR="00CC46CE" w:rsidRPr="004F2013">
        <w:rPr>
          <w:rFonts w:ascii="Times New Roman" w:hAnsi="Times New Roman"/>
        </w:rPr>
        <w:t xml:space="preserve"> in </w:t>
      </w:r>
      <w:hyperlink r:id="rId14" w:history="1">
        <w:r w:rsidR="00CC46CE" w:rsidRPr="004F2013">
          <w:rPr>
            <w:rStyle w:val="Hyperlink"/>
            <w:rFonts w:ascii="Times New Roman" w:hAnsi="Times New Roman"/>
          </w:rPr>
          <w:t>R1-2112900</w:t>
        </w:r>
      </w:hyperlink>
      <w:r w:rsidR="00CC46CE">
        <w:rPr>
          <w:rFonts w:ascii="Times New Roman" w:hAnsi="Times New Roman"/>
        </w:rPr>
        <w:t xml:space="preserve"> [</w:t>
      </w:r>
      <w:r w:rsidR="00E21837">
        <w:rPr>
          <w:rFonts w:ascii="Times New Roman" w:hAnsi="Times New Roman"/>
          <w:lang w:val="en-US" w:eastAsia="ja-JP"/>
        </w:rPr>
        <w:t>3</w:t>
      </w:r>
      <w:r w:rsidR="00CC46CE">
        <w:rPr>
          <w:rFonts w:ascii="Times New Roman" w:hAnsi="Times New Roman"/>
        </w:rPr>
        <w:t>]</w:t>
      </w:r>
      <w:r w:rsidR="00D81765">
        <w:rPr>
          <w:rFonts w:ascii="Times New Roman" w:hAnsi="Times New Roman"/>
        </w:rPr>
        <w:t xml:space="preserve"> (LS can </w:t>
      </w:r>
      <w:r w:rsidR="00CA236A">
        <w:rPr>
          <w:rFonts w:ascii="Times New Roman" w:hAnsi="Times New Roman"/>
        </w:rPr>
        <w:t xml:space="preserve">be found </w:t>
      </w:r>
      <w:r w:rsidR="00D81765">
        <w:rPr>
          <w:rFonts w:ascii="Times New Roman" w:hAnsi="Times New Roman"/>
        </w:rPr>
        <w:t xml:space="preserve">in </w:t>
      </w:r>
      <w:hyperlink r:id="rId15" w:history="1">
        <w:r w:rsidR="00D81765" w:rsidRPr="00625D28">
          <w:rPr>
            <w:rStyle w:val="Hyperlink"/>
            <w:rFonts w:ascii="Times New Roman" w:hAnsi="Times New Roman"/>
          </w:rPr>
          <w:t>R1-2112901</w:t>
        </w:r>
      </w:hyperlink>
      <w:r w:rsidR="00D81765">
        <w:rPr>
          <w:rFonts w:ascii="Times New Roman" w:hAnsi="Times New Roman"/>
        </w:rPr>
        <w:t xml:space="preserve"> [4])</w:t>
      </w:r>
      <w:r w:rsidR="00CC46CE">
        <w:rPr>
          <w:rFonts w:ascii="Times New Roman" w:hAnsi="Times New Roman"/>
        </w:rPr>
        <w:t>.</w:t>
      </w:r>
    </w:p>
    <w:p w14:paraId="020415C4" w14:textId="7DD4E1EE" w:rsidR="004000E8" w:rsidRDefault="00230D18" w:rsidP="00CE0424">
      <w:pPr>
        <w:pStyle w:val="Heading1"/>
      </w:pPr>
      <w:bookmarkStart w:id="0" w:name="_Ref178064866"/>
      <w:bookmarkStart w:id="1" w:name="_Hlk528365764"/>
      <w:r>
        <w:t>2</w:t>
      </w:r>
      <w:r>
        <w:tab/>
      </w:r>
      <w:bookmarkEnd w:id="0"/>
      <w:r w:rsidR="00C5630B">
        <w:t xml:space="preserve">Rel-17 </w:t>
      </w:r>
      <w:r w:rsidR="00BD5B3D">
        <w:t>UE features for NB-IoT</w:t>
      </w:r>
    </w:p>
    <w:bookmarkEnd w:id="1"/>
    <w:p w14:paraId="08E93A70" w14:textId="6AF22780" w:rsidR="00BD5B3D" w:rsidRPr="00FC5E34" w:rsidRDefault="0078341E" w:rsidP="00BD5B3D">
      <w:pPr>
        <w:pStyle w:val="BodyText"/>
        <w:rPr>
          <w:rFonts w:ascii="Times New Roman" w:hAnsi="Times New Roman"/>
          <w:lang w:eastAsia="ja-JP"/>
        </w:rPr>
      </w:pPr>
      <w:r w:rsidRPr="00FC5E34">
        <w:rPr>
          <w:rFonts w:ascii="Times New Roman" w:hAnsi="Times New Roman"/>
          <w:lang w:eastAsia="ja-JP"/>
        </w:rPr>
        <w:t>Below</w:t>
      </w:r>
      <w:r w:rsidR="00E5680C" w:rsidRPr="00FC5E34">
        <w:rPr>
          <w:rFonts w:ascii="Times New Roman" w:hAnsi="Times New Roman"/>
          <w:lang w:eastAsia="ja-JP"/>
        </w:rPr>
        <w:t xml:space="preserve"> we </w:t>
      </w:r>
      <w:r w:rsidR="00FC5E34" w:rsidRPr="00FC5E34">
        <w:rPr>
          <w:rFonts w:ascii="Times New Roman" w:hAnsi="Times New Roman"/>
          <w:lang w:eastAsia="ja-JP"/>
        </w:rPr>
        <w:t xml:space="preserve">discuss the RAN1 UE feature </w:t>
      </w:r>
      <w:r w:rsidR="00FC5E34">
        <w:rPr>
          <w:rFonts w:ascii="Times New Roman" w:hAnsi="Times New Roman"/>
          <w:lang w:eastAsia="ja-JP"/>
        </w:rPr>
        <w:t xml:space="preserve">list </w:t>
      </w:r>
      <w:r w:rsidR="00FC5E34" w:rsidRPr="00FC5E34">
        <w:rPr>
          <w:rFonts w:ascii="Times New Roman" w:hAnsi="Times New Roman"/>
          <w:lang w:eastAsia="ja-JP"/>
        </w:rPr>
        <w:t xml:space="preserve">first for 16-QAM in </w:t>
      </w:r>
      <w:r w:rsidR="00E97223">
        <w:rPr>
          <w:rFonts w:ascii="Times New Roman" w:hAnsi="Times New Roman"/>
          <w:lang w:eastAsia="ja-JP"/>
        </w:rPr>
        <w:t>D</w:t>
      </w:r>
      <w:r w:rsidR="00FC5E34" w:rsidRPr="00FC5E34">
        <w:rPr>
          <w:rFonts w:ascii="Times New Roman" w:hAnsi="Times New Roman"/>
          <w:lang w:eastAsia="ja-JP"/>
        </w:rPr>
        <w:t>L and the</w:t>
      </w:r>
      <w:r w:rsidR="00FC5E34">
        <w:rPr>
          <w:rFonts w:ascii="Times New Roman" w:hAnsi="Times New Roman"/>
          <w:lang w:eastAsia="ja-JP"/>
        </w:rPr>
        <w:t>n</w:t>
      </w:r>
      <w:r w:rsidR="00FC5E34" w:rsidRPr="00FC5E34">
        <w:rPr>
          <w:rFonts w:ascii="Times New Roman" w:hAnsi="Times New Roman"/>
          <w:lang w:eastAsia="ja-JP"/>
        </w:rPr>
        <w:t xml:space="preserve"> for </w:t>
      </w:r>
      <w:r w:rsidR="00E97223">
        <w:rPr>
          <w:rFonts w:ascii="Times New Roman" w:hAnsi="Times New Roman"/>
          <w:lang w:eastAsia="ja-JP"/>
        </w:rPr>
        <w:t>U</w:t>
      </w:r>
      <w:r w:rsidR="00FC5E34" w:rsidRPr="00FC5E34">
        <w:rPr>
          <w:rFonts w:ascii="Times New Roman" w:hAnsi="Times New Roman"/>
          <w:lang w:eastAsia="ja-JP"/>
        </w:rPr>
        <w:t>L</w:t>
      </w:r>
      <w:r w:rsidR="00EE1DE7">
        <w:rPr>
          <w:rFonts w:ascii="Times New Roman" w:hAnsi="Times New Roman"/>
          <w:lang w:eastAsia="ja-JP"/>
        </w:rPr>
        <w:t xml:space="preserve"> as in [3]</w:t>
      </w:r>
      <w:r w:rsidR="00FC5E34" w:rsidRPr="00FC5E34">
        <w:rPr>
          <w:rFonts w:ascii="Times New Roman" w:hAnsi="Times New Roman"/>
          <w:lang w:eastAsia="ja-JP"/>
        </w:rPr>
        <w:t>.</w:t>
      </w:r>
    </w:p>
    <w:p w14:paraId="6538A82E" w14:textId="64BD7A7B" w:rsidR="00BD5B3D" w:rsidRPr="0078341E" w:rsidRDefault="00BD5B3D" w:rsidP="0078341E">
      <w:pPr>
        <w:pStyle w:val="Heading2"/>
      </w:pPr>
      <w:r>
        <w:t>2.1</w:t>
      </w:r>
      <w:r>
        <w:tab/>
        <w:t xml:space="preserve">Support of 16-QAM for unicast in </w:t>
      </w:r>
      <w:r w:rsidR="00E97223">
        <w:t>D</w:t>
      </w:r>
      <w:r>
        <w:t>L</w:t>
      </w:r>
    </w:p>
    <w:p w14:paraId="01A6F7E3" w14:textId="01EB8DD6" w:rsidR="00995524" w:rsidRPr="00612DE0" w:rsidRDefault="0078341E" w:rsidP="00612DE0">
      <w:pPr>
        <w:pStyle w:val="BodyText"/>
        <w:jc w:val="center"/>
        <w:rPr>
          <w:b/>
          <w:bCs/>
          <w:sz w:val="16"/>
          <w:szCs w:val="16"/>
        </w:rPr>
      </w:pPr>
      <w:r w:rsidRPr="0078341E">
        <w:rPr>
          <w:b/>
          <w:bCs/>
          <w:sz w:val="16"/>
          <w:szCs w:val="16"/>
        </w:rPr>
        <w:t>Table 1:</w:t>
      </w:r>
      <w:r>
        <w:rPr>
          <w:b/>
          <w:bCs/>
          <w:sz w:val="16"/>
          <w:szCs w:val="16"/>
        </w:rPr>
        <w:t xml:space="preserve"> </w:t>
      </w:r>
      <w:r w:rsidRPr="0078341E">
        <w:rPr>
          <w:b/>
          <w:bCs/>
          <w:sz w:val="16"/>
          <w:szCs w:val="16"/>
        </w:rPr>
        <w:t xml:space="preserve">RAN1 UE feature list for 16-QAM in </w:t>
      </w:r>
      <w:r w:rsidR="00E97223">
        <w:rPr>
          <w:b/>
          <w:bCs/>
          <w:sz w:val="16"/>
          <w:szCs w:val="16"/>
        </w:rPr>
        <w:t>D</w:t>
      </w:r>
      <w:r w:rsidRPr="0078341E">
        <w:rPr>
          <w:b/>
          <w:bCs/>
          <w:sz w:val="16"/>
          <w:szCs w:val="16"/>
        </w:rPr>
        <w:t>L</w:t>
      </w:r>
      <w:r w:rsidR="00995524">
        <w:rPr>
          <w:b/>
          <w:bCs/>
          <w:sz w:val="16"/>
          <w:szCs w:val="16"/>
        </w:rPr>
        <w:t xml:space="preserve"> as endorsed in RAN1# 10</w:t>
      </w:r>
      <w:r w:rsidR="00641B70">
        <w:rPr>
          <w:b/>
          <w:bCs/>
          <w:sz w:val="16"/>
          <w:szCs w:val="16"/>
        </w:rPr>
        <w:t>7</w:t>
      </w:r>
      <w:r w:rsidR="00995524">
        <w:rPr>
          <w:b/>
          <w:bCs/>
          <w:sz w:val="16"/>
          <w:szCs w:val="16"/>
        </w:rPr>
        <w:t>-e</w:t>
      </w:r>
      <w:r>
        <w:rPr>
          <w:b/>
          <w:bCs/>
          <w:sz w:val="16"/>
          <w:szCs w:val="1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687"/>
        <w:gridCol w:w="1169"/>
        <w:gridCol w:w="1666"/>
        <w:gridCol w:w="1460"/>
        <w:gridCol w:w="1125"/>
        <w:gridCol w:w="1150"/>
      </w:tblGrid>
      <w:tr w:rsidR="0078341E" w:rsidRPr="0078341E" w14:paraId="2BFF9921" w14:textId="77777777" w:rsidTr="0078341E">
        <w:tc>
          <w:tcPr>
            <w:tcW w:w="1232" w:type="pct"/>
            <w:tcBorders>
              <w:top w:val="single" w:sz="4" w:space="0" w:color="auto"/>
              <w:left w:val="single" w:sz="4" w:space="0" w:color="auto"/>
              <w:bottom w:val="single" w:sz="4" w:space="0" w:color="auto"/>
              <w:right w:val="single" w:sz="4" w:space="0" w:color="auto"/>
            </w:tcBorders>
            <w:hideMark/>
          </w:tcPr>
          <w:p w14:paraId="6807B7B3"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Features</w:t>
            </w:r>
          </w:p>
        </w:tc>
        <w:tc>
          <w:tcPr>
            <w:tcW w:w="357" w:type="pct"/>
            <w:tcBorders>
              <w:top w:val="single" w:sz="4" w:space="0" w:color="auto"/>
              <w:left w:val="single" w:sz="4" w:space="0" w:color="auto"/>
              <w:bottom w:val="single" w:sz="4" w:space="0" w:color="auto"/>
              <w:right w:val="single" w:sz="4" w:space="0" w:color="auto"/>
            </w:tcBorders>
            <w:hideMark/>
          </w:tcPr>
          <w:p w14:paraId="0B1F2DCA"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Index</w:t>
            </w:r>
          </w:p>
        </w:tc>
        <w:tc>
          <w:tcPr>
            <w:tcW w:w="607" w:type="pct"/>
            <w:tcBorders>
              <w:top w:val="single" w:sz="4" w:space="0" w:color="auto"/>
              <w:left w:val="single" w:sz="4" w:space="0" w:color="auto"/>
              <w:bottom w:val="single" w:sz="4" w:space="0" w:color="auto"/>
              <w:right w:val="single" w:sz="4" w:space="0" w:color="auto"/>
            </w:tcBorders>
            <w:hideMark/>
          </w:tcPr>
          <w:p w14:paraId="462C571A"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Feature group</w:t>
            </w:r>
          </w:p>
        </w:tc>
        <w:tc>
          <w:tcPr>
            <w:tcW w:w="865" w:type="pct"/>
            <w:tcBorders>
              <w:top w:val="single" w:sz="4" w:space="0" w:color="auto"/>
              <w:left w:val="single" w:sz="4" w:space="0" w:color="auto"/>
              <w:bottom w:val="single" w:sz="4" w:space="0" w:color="auto"/>
              <w:right w:val="single" w:sz="4" w:space="0" w:color="auto"/>
            </w:tcBorders>
            <w:hideMark/>
          </w:tcPr>
          <w:p w14:paraId="2E166D8B"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Components</w:t>
            </w:r>
          </w:p>
        </w:tc>
        <w:tc>
          <w:tcPr>
            <w:tcW w:w="758" w:type="pct"/>
            <w:tcBorders>
              <w:top w:val="single" w:sz="4" w:space="0" w:color="auto"/>
              <w:left w:val="single" w:sz="4" w:space="0" w:color="auto"/>
              <w:bottom w:val="single" w:sz="4" w:space="0" w:color="auto"/>
              <w:right w:val="single" w:sz="4" w:space="0" w:color="auto"/>
            </w:tcBorders>
            <w:hideMark/>
          </w:tcPr>
          <w:p w14:paraId="2D7532F5"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Prerequisite feature groups</w:t>
            </w:r>
          </w:p>
        </w:tc>
        <w:tc>
          <w:tcPr>
            <w:tcW w:w="584" w:type="pct"/>
            <w:tcBorders>
              <w:top w:val="single" w:sz="4" w:space="0" w:color="auto"/>
              <w:left w:val="single" w:sz="4" w:space="0" w:color="auto"/>
              <w:bottom w:val="single" w:sz="4" w:space="0" w:color="auto"/>
              <w:right w:val="single" w:sz="4" w:space="0" w:color="auto"/>
            </w:tcBorders>
            <w:hideMark/>
          </w:tcPr>
          <w:p w14:paraId="0430A318"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 xml:space="preserve">Need for the </w:t>
            </w:r>
            <w:proofErr w:type="spellStart"/>
            <w:r w:rsidRPr="0078341E">
              <w:rPr>
                <w:rFonts w:ascii="Arial" w:eastAsia="Times New Roman" w:hAnsi="Arial"/>
                <w:b/>
                <w:sz w:val="14"/>
                <w:szCs w:val="16"/>
              </w:rPr>
              <w:t>eNB</w:t>
            </w:r>
            <w:proofErr w:type="spellEnd"/>
            <w:r w:rsidRPr="0078341E">
              <w:rPr>
                <w:rFonts w:ascii="Arial" w:eastAsia="Times New Roman" w:hAnsi="Arial"/>
                <w:b/>
                <w:sz w:val="14"/>
                <w:szCs w:val="16"/>
              </w:rPr>
              <w:t xml:space="preserve"> to know if the feature is supported</w:t>
            </w:r>
          </w:p>
        </w:tc>
        <w:tc>
          <w:tcPr>
            <w:tcW w:w="597" w:type="pct"/>
            <w:tcBorders>
              <w:top w:val="single" w:sz="4" w:space="0" w:color="auto"/>
              <w:left w:val="single" w:sz="4" w:space="0" w:color="auto"/>
              <w:bottom w:val="single" w:sz="4" w:space="0" w:color="auto"/>
              <w:right w:val="single" w:sz="4" w:space="0" w:color="auto"/>
            </w:tcBorders>
            <w:hideMark/>
          </w:tcPr>
          <w:p w14:paraId="58ED8B23"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[Need for the UE to know if the feature is supported (only for V2X WI, where the PC5-RRC capability signalling is delivered between the UEs)]</w:t>
            </w:r>
          </w:p>
        </w:tc>
      </w:tr>
      <w:tr w:rsidR="0078341E" w:rsidRPr="0078341E" w14:paraId="35EF4B5D" w14:textId="77777777" w:rsidTr="0078341E">
        <w:tc>
          <w:tcPr>
            <w:tcW w:w="1232" w:type="pct"/>
            <w:tcBorders>
              <w:top w:val="single" w:sz="4" w:space="0" w:color="auto"/>
              <w:left w:val="single" w:sz="4" w:space="0" w:color="auto"/>
              <w:bottom w:val="single" w:sz="4" w:space="0" w:color="auto"/>
              <w:right w:val="single" w:sz="4" w:space="0" w:color="auto"/>
            </w:tcBorders>
            <w:hideMark/>
          </w:tcPr>
          <w:p w14:paraId="07A2518C" w14:textId="77777777" w:rsidR="0078341E" w:rsidRPr="0078341E" w:rsidRDefault="0078341E" w:rsidP="0078341E">
            <w:pPr>
              <w:keepNext/>
              <w:keepLines/>
              <w:overflowPunct/>
              <w:autoSpaceDE/>
              <w:autoSpaceDN/>
              <w:adjustRightInd/>
              <w:spacing w:after="0"/>
              <w:textAlignment w:val="auto"/>
              <w:rPr>
                <w:rFonts w:ascii="Arial" w:hAnsi="Arial"/>
                <w:sz w:val="14"/>
                <w:szCs w:val="16"/>
              </w:rPr>
            </w:pPr>
            <w:r w:rsidRPr="0078341E">
              <w:rPr>
                <w:rFonts w:ascii="Arial" w:hAnsi="Arial" w:cs="Arial"/>
                <w:sz w:val="14"/>
                <w:szCs w:val="16"/>
              </w:rPr>
              <w:t xml:space="preserve">1. </w:t>
            </w:r>
            <w:r w:rsidRPr="0078341E">
              <w:rPr>
                <w:rFonts w:ascii="Arial" w:hAnsi="Arial" w:cs="Arial"/>
                <w:sz w:val="14"/>
                <w:szCs w:val="16"/>
                <w:lang w:eastAsia="en-US"/>
              </w:rPr>
              <w:t>NB_IOTenh4_LTE_eMTC6</w:t>
            </w:r>
          </w:p>
        </w:tc>
        <w:tc>
          <w:tcPr>
            <w:tcW w:w="357" w:type="pct"/>
            <w:tcBorders>
              <w:top w:val="single" w:sz="4" w:space="0" w:color="auto"/>
              <w:left w:val="single" w:sz="4" w:space="0" w:color="auto"/>
              <w:bottom w:val="single" w:sz="4" w:space="0" w:color="auto"/>
              <w:right w:val="single" w:sz="4" w:space="0" w:color="auto"/>
            </w:tcBorders>
            <w:hideMark/>
          </w:tcPr>
          <w:p w14:paraId="791F1111" w14:textId="77777777" w:rsidR="0078341E" w:rsidRPr="0078341E" w:rsidRDefault="0078341E" w:rsidP="0078341E">
            <w:pPr>
              <w:keepNext/>
              <w:keepLines/>
              <w:overflowPunct/>
              <w:autoSpaceDE/>
              <w:autoSpaceDN/>
              <w:adjustRightInd/>
              <w:spacing w:after="0"/>
              <w:textAlignment w:val="auto"/>
              <w:rPr>
                <w:rFonts w:ascii="Arial" w:hAnsi="Arial"/>
                <w:sz w:val="14"/>
                <w:szCs w:val="16"/>
              </w:rPr>
            </w:pPr>
            <w:r w:rsidRPr="0078341E">
              <w:rPr>
                <w:rFonts w:ascii="Arial" w:hAnsi="Arial"/>
                <w:sz w:val="14"/>
                <w:szCs w:val="16"/>
              </w:rPr>
              <w:t>1-1</w:t>
            </w:r>
          </w:p>
        </w:tc>
        <w:tc>
          <w:tcPr>
            <w:tcW w:w="607" w:type="pct"/>
            <w:tcBorders>
              <w:top w:val="single" w:sz="4" w:space="0" w:color="auto"/>
              <w:left w:val="single" w:sz="4" w:space="0" w:color="auto"/>
              <w:bottom w:val="single" w:sz="4" w:space="0" w:color="auto"/>
              <w:right w:val="single" w:sz="4" w:space="0" w:color="auto"/>
            </w:tcBorders>
            <w:hideMark/>
          </w:tcPr>
          <w:p w14:paraId="37DEB5A2" w14:textId="77777777" w:rsidR="0078341E" w:rsidRPr="0078341E" w:rsidRDefault="0078341E" w:rsidP="0078341E">
            <w:pPr>
              <w:keepNext/>
              <w:keepLines/>
              <w:overflowPunct/>
              <w:autoSpaceDE/>
              <w:autoSpaceDN/>
              <w:adjustRightInd/>
              <w:spacing w:after="0"/>
              <w:textAlignment w:val="auto"/>
              <w:rPr>
                <w:rFonts w:ascii="Arial" w:hAnsi="Arial"/>
                <w:sz w:val="14"/>
                <w:szCs w:val="16"/>
                <w:lang w:eastAsia="zh-CN"/>
              </w:rPr>
            </w:pPr>
            <w:r w:rsidRPr="0078341E">
              <w:rPr>
                <w:rFonts w:ascii="Arial" w:hAnsi="Arial"/>
                <w:sz w:val="14"/>
                <w:szCs w:val="16"/>
                <w:lang w:eastAsia="zh-CN"/>
              </w:rPr>
              <w:t>16-QAM for unicast NPDSCH</w:t>
            </w:r>
          </w:p>
        </w:tc>
        <w:tc>
          <w:tcPr>
            <w:tcW w:w="865" w:type="pct"/>
            <w:tcBorders>
              <w:top w:val="single" w:sz="4" w:space="0" w:color="auto"/>
              <w:left w:val="single" w:sz="4" w:space="0" w:color="auto"/>
              <w:bottom w:val="single" w:sz="4" w:space="0" w:color="auto"/>
              <w:right w:val="single" w:sz="4" w:space="0" w:color="auto"/>
            </w:tcBorders>
            <w:hideMark/>
          </w:tcPr>
          <w:p w14:paraId="75EAD673" w14:textId="77777777" w:rsidR="0078341E" w:rsidRPr="0078341E" w:rsidRDefault="0078341E" w:rsidP="0078341E">
            <w:pPr>
              <w:keepNext/>
              <w:keepLines/>
              <w:overflowPunct/>
              <w:autoSpaceDE/>
              <w:autoSpaceDN/>
              <w:adjustRightInd/>
              <w:spacing w:after="0"/>
              <w:textAlignment w:val="auto"/>
              <w:rPr>
                <w:rFonts w:ascii="Arial" w:hAnsi="Arial"/>
                <w:sz w:val="14"/>
                <w:szCs w:val="16"/>
                <w:lang w:val="en-US" w:eastAsia="zh-CN"/>
              </w:rPr>
            </w:pPr>
            <w:r w:rsidRPr="0078341E">
              <w:rPr>
                <w:rFonts w:ascii="Arial" w:hAnsi="Arial"/>
                <w:sz w:val="14"/>
                <w:szCs w:val="16"/>
                <w:lang w:eastAsia="zh-CN"/>
              </w:rPr>
              <w:t xml:space="preserve">1. </w:t>
            </w:r>
            <w:r w:rsidRPr="0078341E">
              <w:rPr>
                <w:rFonts w:ascii="Arial" w:hAnsi="Arial"/>
                <w:sz w:val="14"/>
                <w:szCs w:val="16"/>
                <w:lang w:val="en-US" w:eastAsia="zh-CN"/>
              </w:rPr>
              <w:t>Reception of unicast NPDSCH modulated with 16-QAM</w:t>
            </w:r>
          </w:p>
          <w:p w14:paraId="4D31E85F" w14:textId="77777777" w:rsidR="0078341E" w:rsidRPr="0078341E" w:rsidRDefault="0078341E" w:rsidP="0078341E">
            <w:pPr>
              <w:keepNext/>
              <w:keepLines/>
              <w:overflowPunct/>
              <w:autoSpaceDE/>
              <w:autoSpaceDN/>
              <w:adjustRightInd/>
              <w:spacing w:after="0"/>
              <w:textAlignment w:val="auto"/>
              <w:rPr>
                <w:rFonts w:ascii="Arial" w:hAnsi="Arial"/>
                <w:sz w:val="14"/>
                <w:szCs w:val="16"/>
                <w:lang w:eastAsia="zh-CN"/>
              </w:rPr>
            </w:pPr>
            <w:r w:rsidRPr="0078341E">
              <w:rPr>
                <w:rFonts w:ascii="Arial" w:hAnsi="Arial"/>
                <w:sz w:val="14"/>
                <w:szCs w:val="16"/>
                <w:lang w:eastAsia="zh-CN"/>
              </w:rPr>
              <w:t>2. CQI report to support 16-QAM modulation</w:t>
            </w:r>
          </w:p>
          <w:p w14:paraId="0EAC6240" w14:textId="77777777" w:rsidR="0078341E" w:rsidRPr="0078341E" w:rsidRDefault="0078341E" w:rsidP="0078341E">
            <w:pPr>
              <w:keepNext/>
              <w:keepLines/>
              <w:overflowPunct/>
              <w:autoSpaceDE/>
              <w:autoSpaceDN/>
              <w:adjustRightInd/>
              <w:spacing w:after="0"/>
              <w:textAlignment w:val="auto"/>
              <w:rPr>
                <w:rFonts w:ascii="Arial" w:hAnsi="Arial"/>
                <w:sz w:val="14"/>
                <w:szCs w:val="16"/>
                <w:lang w:eastAsia="zh-CN"/>
              </w:rPr>
            </w:pPr>
            <w:r w:rsidRPr="0078341E">
              <w:rPr>
                <w:rFonts w:ascii="Arial" w:hAnsi="Arial"/>
                <w:sz w:val="14"/>
                <w:szCs w:val="16"/>
                <w:lang w:eastAsia="zh-CN"/>
              </w:rPr>
              <w:t>3. Downlink power allocation for 16-QAM</w:t>
            </w:r>
          </w:p>
        </w:tc>
        <w:tc>
          <w:tcPr>
            <w:tcW w:w="758" w:type="pct"/>
            <w:tcBorders>
              <w:top w:val="single" w:sz="4" w:space="0" w:color="auto"/>
              <w:left w:val="single" w:sz="4" w:space="0" w:color="auto"/>
              <w:bottom w:val="single" w:sz="4" w:space="0" w:color="auto"/>
              <w:right w:val="single" w:sz="4" w:space="0" w:color="auto"/>
            </w:tcBorders>
            <w:hideMark/>
          </w:tcPr>
          <w:p w14:paraId="0641EDA5" w14:textId="77777777" w:rsidR="0078341E" w:rsidRPr="0078341E" w:rsidRDefault="0078341E" w:rsidP="0078341E">
            <w:pPr>
              <w:keepNext/>
              <w:keepLines/>
              <w:overflowPunct/>
              <w:autoSpaceDE/>
              <w:autoSpaceDN/>
              <w:adjustRightInd/>
              <w:spacing w:after="0"/>
              <w:textAlignment w:val="auto"/>
              <w:rPr>
                <w:rFonts w:ascii="Arial" w:hAnsi="Arial"/>
                <w:sz w:val="14"/>
                <w:szCs w:val="16"/>
                <w:lang w:eastAsia="en-US"/>
              </w:rPr>
            </w:pPr>
            <w:r w:rsidRPr="0078341E">
              <w:rPr>
                <w:rFonts w:ascii="Arial" w:hAnsi="Arial"/>
                <w:sz w:val="14"/>
                <w:szCs w:val="16"/>
                <w:lang w:eastAsia="en-US"/>
              </w:rPr>
              <w:t>Category NB-2</w:t>
            </w:r>
          </w:p>
        </w:tc>
        <w:tc>
          <w:tcPr>
            <w:tcW w:w="584" w:type="pct"/>
            <w:tcBorders>
              <w:top w:val="single" w:sz="4" w:space="0" w:color="auto"/>
              <w:left w:val="single" w:sz="4" w:space="0" w:color="auto"/>
              <w:bottom w:val="single" w:sz="4" w:space="0" w:color="auto"/>
              <w:right w:val="single" w:sz="4" w:space="0" w:color="auto"/>
            </w:tcBorders>
            <w:hideMark/>
          </w:tcPr>
          <w:p w14:paraId="2A4695DB" w14:textId="77777777" w:rsidR="0078341E" w:rsidRPr="0078341E" w:rsidRDefault="0078341E" w:rsidP="0078341E">
            <w:pPr>
              <w:keepNext/>
              <w:keepLines/>
              <w:overflowPunct/>
              <w:autoSpaceDE/>
              <w:autoSpaceDN/>
              <w:adjustRightInd/>
              <w:spacing w:after="0"/>
              <w:textAlignment w:val="auto"/>
              <w:rPr>
                <w:rFonts w:ascii="Arial" w:eastAsia="MS Mincho" w:hAnsi="Arial"/>
                <w:sz w:val="14"/>
                <w:szCs w:val="16"/>
              </w:rPr>
            </w:pPr>
            <w:r w:rsidRPr="0078341E">
              <w:rPr>
                <w:rFonts w:ascii="Arial" w:eastAsia="MS Mincho" w:hAnsi="Arial"/>
                <w:sz w:val="14"/>
                <w:szCs w:val="16"/>
              </w:rPr>
              <w:t>Yes</w:t>
            </w:r>
          </w:p>
        </w:tc>
        <w:tc>
          <w:tcPr>
            <w:tcW w:w="597" w:type="pct"/>
            <w:tcBorders>
              <w:top w:val="single" w:sz="4" w:space="0" w:color="auto"/>
              <w:left w:val="single" w:sz="4" w:space="0" w:color="auto"/>
              <w:bottom w:val="single" w:sz="4" w:space="0" w:color="auto"/>
              <w:right w:val="single" w:sz="4" w:space="0" w:color="auto"/>
            </w:tcBorders>
            <w:hideMark/>
          </w:tcPr>
          <w:p w14:paraId="70EFADE6" w14:textId="77777777" w:rsidR="0078341E" w:rsidRPr="0078341E" w:rsidRDefault="0078341E" w:rsidP="0078341E">
            <w:pPr>
              <w:keepNext/>
              <w:keepLines/>
              <w:overflowPunct/>
              <w:autoSpaceDE/>
              <w:autoSpaceDN/>
              <w:adjustRightInd/>
              <w:spacing w:after="0"/>
              <w:textAlignment w:val="auto"/>
              <w:rPr>
                <w:rFonts w:ascii="Arial" w:eastAsia="MS Mincho" w:hAnsi="Arial"/>
                <w:sz w:val="14"/>
                <w:szCs w:val="16"/>
              </w:rPr>
            </w:pPr>
            <w:r w:rsidRPr="0078341E">
              <w:rPr>
                <w:rFonts w:ascii="Arial" w:eastAsia="MS Mincho" w:hAnsi="Arial"/>
                <w:sz w:val="14"/>
                <w:szCs w:val="16"/>
              </w:rPr>
              <w:t>N/A</w:t>
            </w:r>
          </w:p>
        </w:tc>
      </w:tr>
    </w:tbl>
    <w:p w14:paraId="1627D907" w14:textId="77777777" w:rsidR="00C519F5" w:rsidRDefault="00C519F5" w:rsidP="00BD5B3D">
      <w:pPr>
        <w:pStyle w:val="BodyText"/>
      </w:pPr>
    </w:p>
    <w:p w14:paraId="571B6EC0" w14:textId="5B3833CB" w:rsidR="0078341E" w:rsidRPr="00830DBD" w:rsidRDefault="0078341E" w:rsidP="00BD5B3D">
      <w:pPr>
        <w:pStyle w:val="BodyText"/>
        <w:rPr>
          <w:rFonts w:ascii="Times New Roman" w:hAnsi="Times New Roman"/>
        </w:rPr>
      </w:pPr>
      <w:r w:rsidRPr="00830DBD">
        <w:rPr>
          <w:rFonts w:ascii="Times New Roman" w:hAnsi="Times New Roman"/>
        </w:rPr>
        <w:t>Table 1 continues: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025"/>
        <w:gridCol w:w="1150"/>
        <w:gridCol w:w="1119"/>
        <w:gridCol w:w="3670"/>
        <w:gridCol w:w="1531"/>
      </w:tblGrid>
      <w:tr w:rsidR="0078341E" w:rsidRPr="0078341E" w14:paraId="37FF3138" w14:textId="77777777" w:rsidTr="00995524">
        <w:tc>
          <w:tcPr>
            <w:tcW w:w="607" w:type="pct"/>
            <w:tcBorders>
              <w:top w:val="single" w:sz="4" w:space="0" w:color="auto"/>
              <w:left w:val="single" w:sz="4" w:space="0" w:color="auto"/>
              <w:bottom w:val="single" w:sz="4" w:space="0" w:color="auto"/>
              <w:right w:val="single" w:sz="4" w:space="0" w:color="auto"/>
            </w:tcBorders>
            <w:hideMark/>
          </w:tcPr>
          <w:p w14:paraId="41BD8AF4" w14:textId="77777777" w:rsidR="0078341E" w:rsidRPr="0078341E" w:rsidRDefault="0078341E" w:rsidP="0078341E">
            <w:pPr>
              <w:keepNext/>
              <w:keepLines/>
              <w:overflowPunct/>
              <w:autoSpaceDE/>
              <w:autoSpaceDN/>
              <w:adjustRightInd/>
              <w:spacing w:after="0"/>
              <w:textAlignment w:val="auto"/>
              <w:rPr>
                <w:rFonts w:ascii="Arial" w:hAnsi="Arial"/>
                <w:b/>
                <w:sz w:val="14"/>
                <w:szCs w:val="16"/>
              </w:rPr>
            </w:pPr>
            <w:r w:rsidRPr="0078341E">
              <w:rPr>
                <w:rFonts w:ascii="Arial" w:hAnsi="Arial"/>
                <w:b/>
                <w:sz w:val="14"/>
                <w:szCs w:val="16"/>
              </w:rPr>
              <w:lastRenderedPageBreak/>
              <w:t>Consequence if the feature is not supported by the UE</w:t>
            </w:r>
          </w:p>
        </w:tc>
        <w:tc>
          <w:tcPr>
            <w:tcW w:w="577" w:type="pct"/>
            <w:tcBorders>
              <w:top w:val="single" w:sz="4" w:space="0" w:color="auto"/>
              <w:left w:val="single" w:sz="4" w:space="0" w:color="auto"/>
              <w:bottom w:val="single" w:sz="4" w:space="0" w:color="auto"/>
              <w:right w:val="single" w:sz="4" w:space="0" w:color="auto"/>
            </w:tcBorders>
            <w:hideMark/>
          </w:tcPr>
          <w:p w14:paraId="1F8878A0" w14:textId="77777777" w:rsidR="0078341E" w:rsidRPr="0078341E" w:rsidRDefault="0078341E" w:rsidP="0078341E">
            <w:pPr>
              <w:keepNext/>
              <w:keepLines/>
              <w:overflowPunct/>
              <w:autoSpaceDE/>
              <w:autoSpaceDN/>
              <w:adjustRightInd/>
              <w:spacing w:after="0"/>
              <w:textAlignment w:val="auto"/>
              <w:rPr>
                <w:rFonts w:ascii="Arial" w:hAnsi="Arial"/>
                <w:b/>
                <w:sz w:val="14"/>
                <w:szCs w:val="16"/>
              </w:rPr>
            </w:pPr>
            <w:r w:rsidRPr="0078341E">
              <w:rPr>
                <w:rFonts w:ascii="Arial" w:hAnsi="Arial"/>
                <w:b/>
                <w:sz w:val="14"/>
                <w:szCs w:val="16"/>
              </w:rPr>
              <w:t>Type</w:t>
            </w:r>
          </w:p>
          <w:p w14:paraId="51885EA0" w14:textId="77777777" w:rsidR="0078341E" w:rsidRPr="0078341E" w:rsidRDefault="0078341E" w:rsidP="0078341E">
            <w:pPr>
              <w:keepNext/>
              <w:keepLines/>
              <w:overflowPunct/>
              <w:autoSpaceDE/>
              <w:autoSpaceDN/>
              <w:adjustRightInd/>
              <w:spacing w:after="0"/>
              <w:textAlignment w:val="auto"/>
              <w:rPr>
                <w:rFonts w:ascii="Arial" w:hAnsi="Arial"/>
                <w:sz w:val="14"/>
                <w:szCs w:val="16"/>
              </w:rPr>
            </w:pPr>
            <w:r w:rsidRPr="0078341E">
              <w:rPr>
                <w:rFonts w:ascii="Arial" w:hAnsi="Arial"/>
                <w:b/>
                <w:sz w:val="14"/>
                <w:szCs w:val="16"/>
              </w:rPr>
              <w:t>(the ‘type’ definition from UE features should be based on the granularity of 1) Per UE or 2) Per Band or 3) Per BC or 4) Per FS or 5) Per FSPC)</w:t>
            </w:r>
          </w:p>
        </w:tc>
        <w:tc>
          <w:tcPr>
            <w:tcW w:w="565" w:type="pct"/>
            <w:tcBorders>
              <w:top w:val="single" w:sz="4" w:space="0" w:color="auto"/>
              <w:left w:val="single" w:sz="4" w:space="0" w:color="auto"/>
              <w:bottom w:val="single" w:sz="4" w:space="0" w:color="auto"/>
              <w:right w:val="single" w:sz="4" w:space="0" w:color="auto"/>
            </w:tcBorders>
            <w:hideMark/>
          </w:tcPr>
          <w:p w14:paraId="77A30B6B"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Need of FDD/TDD differentiation</w:t>
            </w:r>
          </w:p>
        </w:tc>
        <w:tc>
          <w:tcPr>
            <w:tcW w:w="554" w:type="pct"/>
            <w:tcBorders>
              <w:top w:val="single" w:sz="4" w:space="0" w:color="auto"/>
              <w:left w:val="single" w:sz="4" w:space="0" w:color="auto"/>
              <w:bottom w:val="single" w:sz="4" w:space="0" w:color="auto"/>
              <w:right w:val="single" w:sz="4" w:space="0" w:color="auto"/>
            </w:tcBorders>
            <w:hideMark/>
          </w:tcPr>
          <w:p w14:paraId="44FA0C45" w14:textId="77777777" w:rsidR="0078341E" w:rsidRPr="0078341E" w:rsidRDefault="0078341E" w:rsidP="0078341E">
            <w:pPr>
              <w:keepNext/>
              <w:keepLines/>
              <w:spacing w:after="0"/>
              <w:jc w:val="center"/>
              <w:rPr>
                <w:rFonts w:ascii="Arial" w:eastAsia="Times New Roman" w:hAnsi="Arial"/>
                <w:b/>
                <w:sz w:val="14"/>
                <w:szCs w:val="16"/>
                <w:lang w:eastAsia="x-none"/>
              </w:rPr>
            </w:pPr>
            <w:r w:rsidRPr="0078341E">
              <w:rPr>
                <w:rFonts w:ascii="Arial" w:eastAsia="Times New Roman" w:hAnsi="Arial"/>
                <w:b/>
                <w:sz w:val="14"/>
                <w:szCs w:val="16"/>
              </w:rPr>
              <w:t>Capability interpretation for mixture of FDD/TDD</w:t>
            </w:r>
          </w:p>
        </w:tc>
        <w:tc>
          <w:tcPr>
            <w:tcW w:w="1937" w:type="pct"/>
            <w:tcBorders>
              <w:top w:val="single" w:sz="4" w:space="0" w:color="auto"/>
              <w:left w:val="single" w:sz="4" w:space="0" w:color="auto"/>
              <w:bottom w:val="single" w:sz="4" w:space="0" w:color="auto"/>
              <w:right w:val="single" w:sz="4" w:space="0" w:color="auto"/>
            </w:tcBorders>
            <w:hideMark/>
          </w:tcPr>
          <w:p w14:paraId="47B58B68"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Note</w:t>
            </w:r>
          </w:p>
        </w:tc>
        <w:tc>
          <w:tcPr>
            <w:tcW w:w="761" w:type="pct"/>
            <w:tcBorders>
              <w:top w:val="single" w:sz="4" w:space="0" w:color="auto"/>
              <w:left w:val="single" w:sz="4" w:space="0" w:color="auto"/>
              <w:bottom w:val="single" w:sz="4" w:space="0" w:color="auto"/>
              <w:right w:val="single" w:sz="4" w:space="0" w:color="auto"/>
            </w:tcBorders>
            <w:hideMark/>
          </w:tcPr>
          <w:p w14:paraId="1AB1F48B"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Mandatory/Optional</w:t>
            </w:r>
          </w:p>
        </w:tc>
      </w:tr>
      <w:tr w:rsidR="0078341E" w:rsidRPr="0078341E" w14:paraId="1439E874" w14:textId="77777777" w:rsidTr="00995524">
        <w:tc>
          <w:tcPr>
            <w:tcW w:w="607" w:type="pct"/>
            <w:tcBorders>
              <w:top w:val="single" w:sz="4" w:space="0" w:color="auto"/>
              <w:left w:val="single" w:sz="4" w:space="0" w:color="auto"/>
              <w:bottom w:val="single" w:sz="4" w:space="0" w:color="auto"/>
              <w:right w:val="single" w:sz="4" w:space="0" w:color="auto"/>
            </w:tcBorders>
            <w:hideMark/>
          </w:tcPr>
          <w:p w14:paraId="540FF813" w14:textId="77777777" w:rsidR="0078341E" w:rsidRPr="0078341E" w:rsidRDefault="0078341E" w:rsidP="0078341E">
            <w:pPr>
              <w:keepNext/>
              <w:keepLines/>
              <w:overflowPunct/>
              <w:autoSpaceDE/>
              <w:autoSpaceDN/>
              <w:adjustRightInd/>
              <w:spacing w:after="0"/>
              <w:textAlignment w:val="auto"/>
              <w:rPr>
                <w:rFonts w:ascii="Arial" w:eastAsia="MS Mincho" w:hAnsi="Arial"/>
                <w:sz w:val="14"/>
                <w:szCs w:val="16"/>
              </w:rPr>
            </w:pPr>
            <w:r w:rsidRPr="0078341E">
              <w:rPr>
                <w:rFonts w:ascii="Arial" w:eastAsia="MS Mincho" w:hAnsi="Arial"/>
                <w:sz w:val="14"/>
                <w:szCs w:val="16"/>
              </w:rPr>
              <w:t>The network cannot schedule a unicast NPDSCH modulated with 16-QAM for the UE</w:t>
            </w:r>
          </w:p>
        </w:tc>
        <w:tc>
          <w:tcPr>
            <w:tcW w:w="577" w:type="pct"/>
            <w:tcBorders>
              <w:top w:val="single" w:sz="4" w:space="0" w:color="auto"/>
              <w:left w:val="single" w:sz="4" w:space="0" w:color="auto"/>
              <w:bottom w:val="single" w:sz="4" w:space="0" w:color="auto"/>
              <w:right w:val="single" w:sz="4" w:space="0" w:color="auto"/>
            </w:tcBorders>
            <w:shd w:val="clear" w:color="auto" w:fill="FFFF00"/>
            <w:hideMark/>
          </w:tcPr>
          <w:p w14:paraId="03ACDCBA" w14:textId="77777777" w:rsidR="0078341E" w:rsidRPr="0078341E" w:rsidRDefault="0078341E" w:rsidP="0078341E">
            <w:pPr>
              <w:keepNext/>
              <w:keepLines/>
              <w:overflowPunct/>
              <w:autoSpaceDE/>
              <w:autoSpaceDN/>
              <w:adjustRightInd/>
              <w:spacing w:after="0"/>
              <w:textAlignment w:val="auto"/>
              <w:rPr>
                <w:rFonts w:ascii="Arial" w:eastAsia="MS Mincho" w:hAnsi="Arial"/>
                <w:sz w:val="14"/>
                <w:szCs w:val="16"/>
              </w:rPr>
            </w:pPr>
            <w:r w:rsidRPr="0078341E">
              <w:rPr>
                <w:rFonts w:ascii="Arial" w:eastAsia="MS Mincho" w:hAnsi="Arial"/>
                <w:sz w:val="14"/>
                <w:szCs w:val="16"/>
              </w:rPr>
              <w:t>Per UE</w:t>
            </w:r>
          </w:p>
        </w:tc>
        <w:tc>
          <w:tcPr>
            <w:tcW w:w="565" w:type="pct"/>
            <w:tcBorders>
              <w:top w:val="single" w:sz="4" w:space="0" w:color="auto"/>
              <w:left w:val="single" w:sz="4" w:space="0" w:color="auto"/>
              <w:bottom w:val="single" w:sz="4" w:space="0" w:color="auto"/>
              <w:right w:val="single" w:sz="4" w:space="0" w:color="auto"/>
            </w:tcBorders>
            <w:shd w:val="clear" w:color="auto" w:fill="FFFF00"/>
            <w:hideMark/>
          </w:tcPr>
          <w:p w14:paraId="199C8DA9" w14:textId="77777777" w:rsidR="0078341E" w:rsidRPr="0078341E" w:rsidRDefault="0078341E" w:rsidP="0078341E">
            <w:pPr>
              <w:keepNext/>
              <w:keepLines/>
              <w:overflowPunct/>
              <w:autoSpaceDE/>
              <w:autoSpaceDN/>
              <w:adjustRightInd/>
              <w:spacing w:after="0"/>
              <w:textAlignment w:val="auto"/>
              <w:rPr>
                <w:rFonts w:ascii="Arial" w:eastAsia="MS Mincho" w:hAnsi="Arial"/>
                <w:sz w:val="14"/>
                <w:szCs w:val="16"/>
              </w:rPr>
            </w:pPr>
            <w:r w:rsidRPr="0078341E">
              <w:rPr>
                <w:rFonts w:ascii="Arial" w:eastAsia="MS Mincho" w:hAnsi="Arial"/>
                <w:sz w:val="14"/>
                <w:szCs w:val="16"/>
              </w:rPr>
              <w:t>[Yes]</w:t>
            </w:r>
          </w:p>
        </w:tc>
        <w:tc>
          <w:tcPr>
            <w:tcW w:w="554" w:type="pct"/>
            <w:tcBorders>
              <w:top w:val="single" w:sz="4" w:space="0" w:color="auto"/>
              <w:left w:val="single" w:sz="4" w:space="0" w:color="auto"/>
              <w:bottom w:val="single" w:sz="4" w:space="0" w:color="auto"/>
              <w:right w:val="single" w:sz="4" w:space="0" w:color="auto"/>
            </w:tcBorders>
            <w:shd w:val="clear" w:color="auto" w:fill="FFFF00"/>
            <w:hideMark/>
          </w:tcPr>
          <w:p w14:paraId="25F347D1" w14:textId="77777777" w:rsidR="0078341E" w:rsidRPr="0078341E" w:rsidRDefault="0078341E" w:rsidP="0078341E">
            <w:pPr>
              <w:keepNext/>
              <w:keepLines/>
              <w:overflowPunct/>
              <w:autoSpaceDE/>
              <w:autoSpaceDN/>
              <w:adjustRightInd/>
              <w:spacing w:after="0"/>
              <w:textAlignment w:val="auto"/>
              <w:rPr>
                <w:rFonts w:ascii="Arial" w:eastAsia="MS Mincho" w:hAnsi="Arial"/>
                <w:sz w:val="14"/>
                <w:szCs w:val="16"/>
              </w:rPr>
            </w:pPr>
            <w:r w:rsidRPr="0078341E">
              <w:rPr>
                <w:rFonts w:ascii="Arial" w:eastAsia="MS Mincho" w:hAnsi="Arial"/>
                <w:sz w:val="14"/>
                <w:szCs w:val="16"/>
              </w:rPr>
              <w:t>N/A</w:t>
            </w:r>
          </w:p>
        </w:tc>
        <w:tc>
          <w:tcPr>
            <w:tcW w:w="1937" w:type="pct"/>
            <w:tcBorders>
              <w:top w:val="single" w:sz="4" w:space="0" w:color="auto"/>
              <w:left w:val="single" w:sz="4" w:space="0" w:color="auto"/>
              <w:bottom w:val="single" w:sz="4" w:space="0" w:color="auto"/>
              <w:right w:val="single" w:sz="4" w:space="0" w:color="auto"/>
            </w:tcBorders>
          </w:tcPr>
          <w:p w14:paraId="0116D1FB" w14:textId="09D9B796" w:rsidR="0078341E" w:rsidRPr="00641B70" w:rsidRDefault="00641B70" w:rsidP="0078341E">
            <w:pPr>
              <w:keepNext/>
              <w:keepLines/>
              <w:overflowPunct/>
              <w:autoSpaceDE/>
              <w:autoSpaceDN/>
              <w:adjustRightInd/>
              <w:spacing w:after="0"/>
              <w:textAlignment w:val="auto"/>
              <w:rPr>
                <w:rFonts w:ascii="Arial" w:hAnsi="Arial"/>
                <w:sz w:val="14"/>
                <w:szCs w:val="14"/>
                <w:lang w:eastAsia="en-US"/>
              </w:rPr>
            </w:pPr>
            <w:r w:rsidRPr="00641B70">
              <w:rPr>
                <w:sz w:val="14"/>
                <w:szCs w:val="14"/>
                <w:lang w:val="en-US"/>
              </w:rPr>
              <w:t>It is RAN1 assumption that 16-QAM for unicast in DL is compatible with all other NB-IoT features in connected-mode plus PUR</w:t>
            </w:r>
          </w:p>
        </w:tc>
        <w:tc>
          <w:tcPr>
            <w:tcW w:w="761" w:type="pct"/>
            <w:tcBorders>
              <w:top w:val="single" w:sz="4" w:space="0" w:color="auto"/>
              <w:left w:val="single" w:sz="4" w:space="0" w:color="auto"/>
              <w:bottom w:val="single" w:sz="4" w:space="0" w:color="auto"/>
              <w:right w:val="single" w:sz="4" w:space="0" w:color="auto"/>
            </w:tcBorders>
            <w:hideMark/>
          </w:tcPr>
          <w:p w14:paraId="63822E5F" w14:textId="77777777" w:rsidR="0078341E" w:rsidRPr="0078341E" w:rsidRDefault="0078341E" w:rsidP="0078341E">
            <w:pPr>
              <w:keepNext/>
              <w:keepLines/>
              <w:overflowPunct/>
              <w:autoSpaceDE/>
              <w:autoSpaceDN/>
              <w:adjustRightInd/>
              <w:spacing w:after="0"/>
              <w:textAlignment w:val="auto"/>
              <w:rPr>
                <w:rFonts w:ascii="Arial" w:eastAsia="MS Mincho" w:hAnsi="Arial"/>
                <w:sz w:val="14"/>
                <w:szCs w:val="16"/>
              </w:rPr>
            </w:pPr>
            <w:r w:rsidRPr="0078341E">
              <w:rPr>
                <w:rFonts w:ascii="Arial" w:eastAsia="MS Mincho" w:hAnsi="Arial"/>
                <w:sz w:val="14"/>
                <w:szCs w:val="16"/>
              </w:rPr>
              <w:t xml:space="preserve">Optional with capability </w:t>
            </w:r>
            <w:proofErr w:type="spellStart"/>
            <w:r w:rsidRPr="0078341E">
              <w:rPr>
                <w:rFonts w:ascii="Arial" w:eastAsia="MS Mincho" w:hAnsi="Arial"/>
                <w:sz w:val="14"/>
                <w:szCs w:val="16"/>
              </w:rPr>
              <w:t>signaling</w:t>
            </w:r>
            <w:proofErr w:type="spellEnd"/>
          </w:p>
        </w:tc>
      </w:tr>
    </w:tbl>
    <w:p w14:paraId="1896FD64" w14:textId="77777777" w:rsidR="0078341E" w:rsidRDefault="0078341E" w:rsidP="00BD5B3D">
      <w:pPr>
        <w:pStyle w:val="BodyText"/>
      </w:pPr>
    </w:p>
    <w:p w14:paraId="7F00ACD4" w14:textId="3FFBBB3F" w:rsidR="003E5D4B" w:rsidRDefault="003E5D4B" w:rsidP="003E5D4B">
      <w:pPr>
        <w:pStyle w:val="BodyText"/>
        <w:rPr>
          <w:rFonts w:ascii="Times New Roman" w:eastAsia="Times New Roman" w:hAnsi="Times New Roman"/>
        </w:rPr>
      </w:pPr>
      <w:r w:rsidRPr="00412BA5">
        <w:rPr>
          <w:rFonts w:ascii="Times New Roman" w:eastAsia="Times New Roman" w:hAnsi="Times New Roman"/>
        </w:rPr>
        <w:t xml:space="preserve">For the UE feature </w:t>
      </w:r>
      <w:r w:rsidR="00A51174">
        <w:rPr>
          <w:rFonts w:ascii="Times New Roman" w:eastAsia="Times New Roman" w:hAnsi="Times New Roman"/>
        </w:rPr>
        <w:t xml:space="preserve">list </w:t>
      </w:r>
      <w:r w:rsidR="00612DE0">
        <w:rPr>
          <w:rFonts w:ascii="Times New Roman" w:eastAsia="Times New Roman" w:hAnsi="Times New Roman"/>
        </w:rPr>
        <w:t>above related with</w:t>
      </w:r>
      <w:r w:rsidRPr="00412BA5">
        <w:rPr>
          <w:rFonts w:ascii="Times New Roman" w:eastAsia="Times New Roman" w:hAnsi="Times New Roman"/>
        </w:rPr>
        <w:t xml:space="preserve"> 16-QAM in DL, the observations, and proposals we have can be found in section 2.3 which are related </w:t>
      </w:r>
      <w:r w:rsidR="00612DE0">
        <w:rPr>
          <w:rFonts w:ascii="Times New Roman" w:eastAsia="Times New Roman" w:hAnsi="Times New Roman"/>
        </w:rPr>
        <w:t xml:space="preserve">to the following </w:t>
      </w:r>
      <w:r w:rsidRPr="00412BA5">
        <w:rPr>
          <w:rFonts w:ascii="Times New Roman" w:eastAsia="Times New Roman" w:hAnsi="Times New Roman"/>
        </w:rPr>
        <w:t>column</w:t>
      </w:r>
      <w:r w:rsidR="00612DE0">
        <w:rPr>
          <w:rFonts w:ascii="Times New Roman" w:eastAsia="Times New Roman" w:hAnsi="Times New Roman"/>
        </w:rPr>
        <w:t>s: “</w:t>
      </w:r>
      <w:r w:rsidR="00612DE0" w:rsidRPr="00612DE0">
        <w:rPr>
          <w:rFonts w:ascii="Times New Roman" w:eastAsia="Times New Roman" w:hAnsi="Times New Roman"/>
          <w:i/>
          <w:iCs/>
        </w:rPr>
        <w:t>Type</w:t>
      </w:r>
      <w:r w:rsidR="00612DE0">
        <w:rPr>
          <w:rFonts w:ascii="Times New Roman" w:eastAsia="Times New Roman" w:hAnsi="Times New Roman"/>
        </w:rPr>
        <w:t>”,</w:t>
      </w:r>
      <w:r w:rsidRPr="00412BA5">
        <w:rPr>
          <w:rFonts w:ascii="Times New Roman" w:eastAsia="Times New Roman" w:hAnsi="Times New Roman"/>
        </w:rPr>
        <w:t xml:space="preserve"> “</w:t>
      </w:r>
      <w:r w:rsidRPr="00412BA5">
        <w:rPr>
          <w:rFonts w:ascii="Times New Roman" w:eastAsia="Times New Roman" w:hAnsi="Times New Roman"/>
          <w:i/>
        </w:rPr>
        <w:t>Need of FDD/TDD differentiation</w:t>
      </w:r>
      <w:r w:rsidRPr="00412BA5">
        <w:rPr>
          <w:rFonts w:ascii="Times New Roman" w:eastAsia="Times New Roman" w:hAnsi="Times New Roman"/>
        </w:rPr>
        <w:t>”</w:t>
      </w:r>
      <w:r w:rsidR="00612DE0">
        <w:rPr>
          <w:rFonts w:ascii="Times New Roman" w:eastAsia="Times New Roman" w:hAnsi="Times New Roman"/>
        </w:rPr>
        <w:t>, and “</w:t>
      </w:r>
      <w:r w:rsidR="00612DE0" w:rsidRPr="00612DE0">
        <w:rPr>
          <w:rFonts w:ascii="Times New Roman" w:eastAsia="Times New Roman" w:hAnsi="Times New Roman"/>
          <w:i/>
          <w:iCs/>
        </w:rPr>
        <w:t>Capability interpretation for mixture of FDD/TDD</w:t>
      </w:r>
      <w:r w:rsidR="00612DE0">
        <w:rPr>
          <w:rFonts w:ascii="Times New Roman" w:eastAsia="Times New Roman" w:hAnsi="Times New Roman"/>
        </w:rPr>
        <w:t>”.</w:t>
      </w:r>
    </w:p>
    <w:p w14:paraId="4848533A" w14:textId="4ABA0DD5" w:rsidR="00BD5B3D" w:rsidRDefault="00BD5B3D" w:rsidP="00BD5B3D">
      <w:pPr>
        <w:pStyle w:val="Heading2"/>
      </w:pPr>
      <w:r>
        <w:t>2.2</w:t>
      </w:r>
      <w:r>
        <w:tab/>
        <w:t xml:space="preserve">Support of 16-QAM for unicast in </w:t>
      </w:r>
      <w:r w:rsidR="00E97223">
        <w:t>U</w:t>
      </w:r>
      <w:r>
        <w:t>L</w:t>
      </w:r>
    </w:p>
    <w:p w14:paraId="372A9247" w14:textId="1B605CA3" w:rsidR="00CA53B2" w:rsidRPr="009B684E" w:rsidRDefault="00E97223" w:rsidP="009B684E">
      <w:pPr>
        <w:pStyle w:val="BodyText"/>
        <w:jc w:val="center"/>
        <w:rPr>
          <w:b/>
          <w:bCs/>
          <w:sz w:val="16"/>
          <w:szCs w:val="16"/>
        </w:rPr>
      </w:pPr>
      <w:r w:rsidRPr="0078341E">
        <w:rPr>
          <w:b/>
          <w:bCs/>
          <w:sz w:val="16"/>
          <w:szCs w:val="16"/>
        </w:rPr>
        <w:t xml:space="preserve">Table </w:t>
      </w:r>
      <w:r>
        <w:rPr>
          <w:b/>
          <w:bCs/>
          <w:sz w:val="16"/>
          <w:szCs w:val="16"/>
        </w:rPr>
        <w:t>2</w:t>
      </w:r>
      <w:r w:rsidRPr="0078341E">
        <w:rPr>
          <w:b/>
          <w:bCs/>
          <w:sz w:val="16"/>
          <w:szCs w:val="16"/>
        </w:rPr>
        <w:t>:</w:t>
      </w:r>
      <w:r>
        <w:rPr>
          <w:b/>
          <w:bCs/>
          <w:sz w:val="16"/>
          <w:szCs w:val="16"/>
        </w:rPr>
        <w:t xml:space="preserve"> </w:t>
      </w:r>
      <w:r w:rsidRPr="0078341E">
        <w:rPr>
          <w:b/>
          <w:bCs/>
          <w:sz w:val="16"/>
          <w:szCs w:val="16"/>
        </w:rPr>
        <w:t xml:space="preserve">RAN1 UE feature list for 16-QAM in </w:t>
      </w:r>
      <w:r w:rsidR="00C005E4">
        <w:rPr>
          <w:b/>
          <w:bCs/>
          <w:sz w:val="16"/>
          <w:szCs w:val="16"/>
        </w:rPr>
        <w:t>U</w:t>
      </w:r>
      <w:r w:rsidRPr="0078341E">
        <w:rPr>
          <w:b/>
          <w:bCs/>
          <w:sz w:val="16"/>
          <w:szCs w:val="16"/>
        </w:rPr>
        <w:t>L</w:t>
      </w:r>
      <w:r w:rsidR="00CA53B2" w:rsidRPr="00CA53B2">
        <w:rPr>
          <w:b/>
          <w:bCs/>
          <w:sz w:val="16"/>
          <w:szCs w:val="16"/>
        </w:rPr>
        <w:t xml:space="preserve"> </w:t>
      </w:r>
      <w:r w:rsidR="00CA53B2">
        <w:rPr>
          <w:b/>
          <w:bCs/>
          <w:sz w:val="16"/>
          <w:szCs w:val="16"/>
        </w:rPr>
        <w:t>as endorsed in RAN1# 10</w:t>
      </w:r>
      <w:r w:rsidR="00AE2C1C">
        <w:rPr>
          <w:b/>
          <w:bCs/>
          <w:sz w:val="16"/>
          <w:szCs w:val="16"/>
        </w:rPr>
        <w:t>7</w:t>
      </w:r>
      <w:r w:rsidR="00CA53B2">
        <w:rPr>
          <w:b/>
          <w:bCs/>
          <w:sz w:val="16"/>
          <w:szCs w:val="16"/>
        </w:rPr>
        <w:t>-e</w:t>
      </w:r>
      <w:r>
        <w:rPr>
          <w:b/>
          <w:bCs/>
          <w:sz w:val="16"/>
          <w:szCs w:val="1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687"/>
        <w:gridCol w:w="1169"/>
        <w:gridCol w:w="1666"/>
        <w:gridCol w:w="1460"/>
        <w:gridCol w:w="1125"/>
        <w:gridCol w:w="1150"/>
      </w:tblGrid>
      <w:tr w:rsidR="00E97223" w:rsidRPr="00E97223" w14:paraId="770A4BCE" w14:textId="77777777" w:rsidTr="00E97223">
        <w:tc>
          <w:tcPr>
            <w:tcW w:w="1232" w:type="pct"/>
            <w:tcBorders>
              <w:top w:val="single" w:sz="4" w:space="0" w:color="auto"/>
              <w:left w:val="single" w:sz="4" w:space="0" w:color="auto"/>
              <w:bottom w:val="single" w:sz="4" w:space="0" w:color="auto"/>
              <w:right w:val="single" w:sz="4" w:space="0" w:color="auto"/>
            </w:tcBorders>
            <w:hideMark/>
          </w:tcPr>
          <w:p w14:paraId="1155DD52" w14:textId="77777777" w:rsidR="00E97223" w:rsidRPr="00E97223" w:rsidRDefault="00E97223" w:rsidP="00C1090C">
            <w:pPr>
              <w:pStyle w:val="TAH"/>
              <w:rPr>
                <w:sz w:val="14"/>
                <w:szCs w:val="16"/>
              </w:rPr>
            </w:pPr>
            <w:r w:rsidRPr="00E97223">
              <w:rPr>
                <w:sz w:val="14"/>
                <w:szCs w:val="16"/>
              </w:rPr>
              <w:t>Features</w:t>
            </w:r>
          </w:p>
        </w:tc>
        <w:tc>
          <w:tcPr>
            <w:tcW w:w="357" w:type="pct"/>
            <w:tcBorders>
              <w:top w:val="single" w:sz="4" w:space="0" w:color="auto"/>
              <w:left w:val="single" w:sz="4" w:space="0" w:color="auto"/>
              <w:bottom w:val="single" w:sz="4" w:space="0" w:color="auto"/>
              <w:right w:val="single" w:sz="4" w:space="0" w:color="auto"/>
            </w:tcBorders>
            <w:hideMark/>
          </w:tcPr>
          <w:p w14:paraId="26185926" w14:textId="77777777" w:rsidR="00E97223" w:rsidRPr="00E97223" w:rsidRDefault="00E97223" w:rsidP="00C1090C">
            <w:pPr>
              <w:pStyle w:val="TAH"/>
              <w:rPr>
                <w:sz w:val="14"/>
                <w:szCs w:val="16"/>
              </w:rPr>
            </w:pPr>
            <w:r w:rsidRPr="00E97223">
              <w:rPr>
                <w:sz w:val="14"/>
                <w:szCs w:val="16"/>
              </w:rPr>
              <w:t>Index</w:t>
            </w:r>
          </w:p>
        </w:tc>
        <w:tc>
          <w:tcPr>
            <w:tcW w:w="607" w:type="pct"/>
            <w:tcBorders>
              <w:top w:val="single" w:sz="4" w:space="0" w:color="auto"/>
              <w:left w:val="single" w:sz="4" w:space="0" w:color="auto"/>
              <w:bottom w:val="single" w:sz="4" w:space="0" w:color="auto"/>
              <w:right w:val="single" w:sz="4" w:space="0" w:color="auto"/>
            </w:tcBorders>
            <w:hideMark/>
          </w:tcPr>
          <w:p w14:paraId="0F20CFCA" w14:textId="77777777" w:rsidR="00E97223" w:rsidRPr="00E97223" w:rsidRDefault="00E97223" w:rsidP="00C1090C">
            <w:pPr>
              <w:pStyle w:val="TAH"/>
              <w:rPr>
                <w:sz w:val="14"/>
                <w:szCs w:val="16"/>
              </w:rPr>
            </w:pPr>
            <w:r w:rsidRPr="00E97223">
              <w:rPr>
                <w:sz w:val="14"/>
                <w:szCs w:val="16"/>
              </w:rPr>
              <w:t>Feature group</w:t>
            </w:r>
          </w:p>
        </w:tc>
        <w:tc>
          <w:tcPr>
            <w:tcW w:w="865" w:type="pct"/>
            <w:tcBorders>
              <w:top w:val="single" w:sz="4" w:space="0" w:color="auto"/>
              <w:left w:val="single" w:sz="4" w:space="0" w:color="auto"/>
              <w:bottom w:val="single" w:sz="4" w:space="0" w:color="auto"/>
              <w:right w:val="single" w:sz="4" w:space="0" w:color="auto"/>
            </w:tcBorders>
            <w:hideMark/>
          </w:tcPr>
          <w:p w14:paraId="78D028B5" w14:textId="77777777" w:rsidR="00E97223" w:rsidRPr="00E97223" w:rsidRDefault="00E97223" w:rsidP="00C1090C">
            <w:pPr>
              <w:pStyle w:val="TAH"/>
              <w:rPr>
                <w:sz w:val="14"/>
                <w:szCs w:val="16"/>
              </w:rPr>
            </w:pPr>
            <w:r w:rsidRPr="00E97223">
              <w:rPr>
                <w:sz w:val="14"/>
                <w:szCs w:val="16"/>
              </w:rPr>
              <w:t>Components</w:t>
            </w:r>
          </w:p>
        </w:tc>
        <w:tc>
          <w:tcPr>
            <w:tcW w:w="758" w:type="pct"/>
            <w:tcBorders>
              <w:top w:val="single" w:sz="4" w:space="0" w:color="auto"/>
              <w:left w:val="single" w:sz="4" w:space="0" w:color="auto"/>
              <w:bottom w:val="single" w:sz="4" w:space="0" w:color="auto"/>
              <w:right w:val="single" w:sz="4" w:space="0" w:color="auto"/>
            </w:tcBorders>
            <w:hideMark/>
          </w:tcPr>
          <w:p w14:paraId="64B6AE06" w14:textId="77777777" w:rsidR="00E97223" w:rsidRPr="00E97223" w:rsidRDefault="00E97223" w:rsidP="00C1090C">
            <w:pPr>
              <w:pStyle w:val="TAH"/>
              <w:rPr>
                <w:sz w:val="14"/>
                <w:szCs w:val="16"/>
              </w:rPr>
            </w:pPr>
            <w:r w:rsidRPr="00E97223">
              <w:rPr>
                <w:sz w:val="14"/>
                <w:szCs w:val="16"/>
              </w:rPr>
              <w:t>Prerequisite feature groups</w:t>
            </w:r>
          </w:p>
        </w:tc>
        <w:tc>
          <w:tcPr>
            <w:tcW w:w="584" w:type="pct"/>
            <w:tcBorders>
              <w:top w:val="single" w:sz="4" w:space="0" w:color="auto"/>
              <w:left w:val="single" w:sz="4" w:space="0" w:color="auto"/>
              <w:bottom w:val="single" w:sz="4" w:space="0" w:color="auto"/>
              <w:right w:val="single" w:sz="4" w:space="0" w:color="auto"/>
            </w:tcBorders>
            <w:hideMark/>
          </w:tcPr>
          <w:p w14:paraId="4F3F0933" w14:textId="77777777" w:rsidR="00E97223" w:rsidRPr="00E97223" w:rsidRDefault="00E97223" w:rsidP="00C1090C">
            <w:pPr>
              <w:pStyle w:val="TAH"/>
              <w:rPr>
                <w:sz w:val="14"/>
                <w:szCs w:val="16"/>
              </w:rPr>
            </w:pPr>
            <w:r w:rsidRPr="00E97223">
              <w:rPr>
                <w:sz w:val="14"/>
                <w:szCs w:val="16"/>
              </w:rPr>
              <w:t>Need for the eNB to know if the feature is supported</w:t>
            </w:r>
          </w:p>
        </w:tc>
        <w:tc>
          <w:tcPr>
            <w:tcW w:w="597" w:type="pct"/>
            <w:tcBorders>
              <w:top w:val="single" w:sz="4" w:space="0" w:color="auto"/>
              <w:left w:val="single" w:sz="4" w:space="0" w:color="auto"/>
              <w:bottom w:val="single" w:sz="4" w:space="0" w:color="auto"/>
              <w:right w:val="single" w:sz="4" w:space="0" w:color="auto"/>
            </w:tcBorders>
            <w:hideMark/>
          </w:tcPr>
          <w:p w14:paraId="4050CE62" w14:textId="77777777" w:rsidR="00E97223" w:rsidRPr="00E97223" w:rsidRDefault="00E97223" w:rsidP="00C1090C">
            <w:pPr>
              <w:pStyle w:val="TAH"/>
              <w:rPr>
                <w:sz w:val="14"/>
                <w:szCs w:val="16"/>
              </w:rPr>
            </w:pPr>
            <w:r w:rsidRPr="00E97223">
              <w:rPr>
                <w:sz w:val="14"/>
                <w:szCs w:val="16"/>
              </w:rPr>
              <w:t>[Need for the UE to know if the feature is supported (only for V2X WI, where the PC5-RRC capability signalling is delivered between the UEs)]</w:t>
            </w:r>
          </w:p>
        </w:tc>
      </w:tr>
      <w:tr w:rsidR="00E97223" w:rsidRPr="00E97223" w14:paraId="313BE658" w14:textId="77777777" w:rsidTr="00E97223">
        <w:tc>
          <w:tcPr>
            <w:tcW w:w="1232" w:type="pct"/>
            <w:tcBorders>
              <w:top w:val="single" w:sz="4" w:space="0" w:color="auto"/>
              <w:left w:val="single" w:sz="4" w:space="0" w:color="auto"/>
              <w:bottom w:val="single" w:sz="4" w:space="0" w:color="auto"/>
              <w:right w:val="single" w:sz="4" w:space="0" w:color="auto"/>
            </w:tcBorders>
            <w:hideMark/>
          </w:tcPr>
          <w:p w14:paraId="2AE8388F" w14:textId="77777777" w:rsidR="00E97223" w:rsidRPr="00412BA5" w:rsidRDefault="00E97223" w:rsidP="00412BA5">
            <w:pPr>
              <w:pStyle w:val="TAL"/>
              <w:spacing w:line="259" w:lineRule="auto"/>
              <w:rPr>
                <w:sz w:val="14"/>
                <w:szCs w:val="14"/>
              </w:rPr>
            </w:pPr>
            <w:r w:rsidRPr="00412BA5">
              <w:rPr>
                <w:sz w:val="14"/>
                <w:szCs w:val="14"/>
              </w:rPr>
              <w:t>1. NB_IOTenh4_LTE_eMTC6</w:t>
            </w:r>
          </w:p>
        </w:tc>
        <w:tc>
          <w:tcPr>
            <w:tcW w:w="357" w:type="pct"/>
            <w:tcBorders>
              <w:top w:val="single" w:sz="4" w:space="0" w:color="auto"/>
              <w:left w:val="single" w:sz="4" w:space="0" w:color="auto"/>
              <w:bottom w:val="single" w:sz="4" w:space="0" w:color="auto"/>
              <w:right w:val="single" w:sz="4" w:space="0" w:color="auto"/>
            </w:tcBorders>
            <w:hideMark/>
          </w:tcPr>
          <w:p w14:paraId="29CE9DD7" w14:textId="77777777" w:rsidR="00E97223" w:rsidRPr="00E97223" w:rsidRDefault="00E97223" w:rsidP="00C1090C">
            <w:pPr>
              <w:pStyle w:val="TAL"/>
              <w:rPr>
                <w:sz w:val="14"/>
                <w:szCs w:val="16"/>
                <w:lang w:eastAsia="ja-JP"/>
              </w:rPr>
            </w:pPr>
            <w:r w:rsidRPr="00E97223">
              <w:rPr>
                <w:sz w:val="14"/>
                <w:szCs w:val="16"/>
                <w:lang w:eastAsia="ja-JP"/>
              </w:rPr>
              <w:t>1-2</w:t>
            </w:r>
          </w:p>
        </w:tc>
        <w:tc>
          <w:tcPr>
            <w:tcW w:w="607" w:type="pct"/>
            <w:tcBorders>
              <w:top w:val="single" w:sz="4" w:space="0" w:color="auto"/>
              <w:left w:val="single" w:sz="4" w:space="0" w:color="auto"/>
              <w:bottom w:val="single" w:sz="4" w:space="0" w:color="auto"/>
              <w:right w:val="single" w:sz="4" w:space="0" w:color="auto"/>
            </w:tcBorders>
            <w:hideMark/>
          </w:tcPr>
          <w:p w14:paraId="768A1D6A" w14:textId="77777777" w:rsidR="00E97223" w:rsidRPr="00E97223" w:rsidRDefault="00E97223" w:rsidP="00C1090C">
            <w:pPr>
              <w:pStyle w:val="TAL"/>
              <w:rPr>
                <w:sz w:val="14"/>
                <w:szCs w:val="16"/>
              </w:rPr>
            </w:pPr>
            <w:r w:rsidRPr="00E97223">
              <w:rPr>
                <w:sz w:val="14"/>
                <w:szCs w:val="16"/>
              </w:rPr>
              <w:t>16-QAM for unicast NPUSCH</w:t>
            </w:r>
          </w:p>
        </w:tc>
        <w:tc>
          <w:tcPr>
            <w:tcW w:w="865" w:type="pct"/>
            <w:tcBorders>
              <w:top w:val="single" w:sz="4" w:space="0" w:color="auto"/>
              <w:left w:val="single" w:sz="4" w:space="0" w:color="auto"/>
              <w:bottom w:val="single" w:sz="4" w:space="0" w:color="auto"/>
              <w:right w:val="single" w:sz="4" w:space="0" w:color="auto"/>
            </w:tcBorders>
            <w:hideMark/>
          </w:tcPr>
          <w:p w14:paraId="2B976352" w14:textId="77777777" w:rsidR="00E97223" w:rsidRPr="00E97223" w:rsidRDefault="00E97223" w:rsidP="00C1090C">
            <w:pPr>
              <w:pStyle w:val="TAL"/>
              <w:rPr>
                <w:sz w:val="14"/>
                <w:szCs w:val="16"/>
              </w:rPr>
            </w:pPr>
            <w:r w:rsidRPr="00E97223">
              <w:rPr>
                <w:sz w:val="14"/>
                <w:szCs w:val="16"/>
              </w:rPr>
              <w:t>1. Transmission of unicast NPUSCH modulated with 16-QAM</w:t>
            </w:r>
          </w:p>
          <w:p w14:paraId="69CA0559" w14:textId="77777777" w:rsidR="00E97223" w:rsidRPr="00E97223" w:rsidRDefault="00E97223" w:rsidP="00C1090C">
            <w:pPr>
              <w:pStyle w:val="TAL"/>
              <w:rPr>
                <w:sz w:val="14"/>
                <w:szCs w:val="16"/>
              </w:rPr>
            </w:pPr>
            <w:r w:rsidRPr="00E97223">
              <w:rPr>
                <w:sz w:val="14"/>
                <w:szCs w:val="16"/>
              </w:rPr>
              <w:t>2. New term in the UE’s transmit power control equation.</w:t>
            </w:r>
          </w:p>
        </w:tc>
        <w:tc>
          <w:tcPr>
            <w:tcW w:w="758" w:type="pct"/>
            <w:tcBorders>
              <w:top w:val="single" w:sz="4" w:space="0" w:color="auto"/>
              <w:left w:val="single" w:sz="4" w:space="0" w:color="auto"/>
              <w:bottom w:val="single" w:sz="4" w:space="0" w:color="auto"/>
              <w:right w:val="single" w:sz="4" w:space="0" w:color="auto"/>
            </w:tcBorders>
            <w:hideMark/>
          </w:tcPr>
          <w:p w14:paraId="063C08E4" w14:textId="77777777" w:rsidR="00E97223" w:rsidRPr="00E97223" w:rsidRDefault="00E97223" w:rsidP="00C1090C">
            <w:pPr>
              <w:pStyle w:val="TAL"/>
              <w:rPr>
                <w:sz w:val="14"/>
                <w:szCs w:val="16"/>
              </w:rPr>
            </w:pPr>
            <w:r w:rsidRPr="00E97223">
              <w:rPr>
                <w:sz w:val="14"/>
                <w:szCs w:val="16"/>
              </w:rPr>
              <w:t>Category NB-2</w:t>
            </w:r>
          </w:p>
        </w:tc>
        <w:tc>
          <w:tcPr>
            <w:tcW w:w="584" w:type="pct"/>
            <w:tcBorders>
              <w:top w:val="single" w:sz="4" w:space="0" w:color="auto"/>
              <w:left w:val="single" w:sz="4" w:space="0" w:color="auto"/>
              <w:bottom w:val="single" w:sz="4" w:space="0" w:color="auto"/>
              <w:right w:val="single" w:sz="4" w:space="0" w:color="auto"/>
            </w:tcBorders>
            <w:hideMark/>
          </w:tcPr>
          <w:p w14:paraId="482DD956" w14:textId="77777777" w:rsidR="00E97223" w:rsidRPr="00E97223" w:rsidRDefault="00E97223" w:rsidP="00C1090C">
            <w:pPr>
              <w:pStyle w:val="TAL"/>
              <w:rPr>
                <w:rFonts w:eastAsia="MS Mincho"/>
                <w:sz w:val="14"/>
                <w:szCs w:val="16"/>
                <w:lang w:eastAsia="ja-JP"/>
              </w:rPr>
            </w:pPr>
            <w:r w:rsidRPr="00E97223">
              <w:rPr>
                <w:rFonts w:eastAsia="MS Mincho"/>
                <w:sz w:val="14"/>
                <w:szCs w:val="16"/>
                <w:lang w:eastAsia="ja-JP"/>
              </w:rPr>
              <w:t>Yes</w:t>
            </w:r>
          </w:p>
        </w:tc>
        <w:tc>
          <w:tcPr>
            <w:tcW w:w="597" w:type="pct"/>
            <w:tcBorders>
              <w:top w:val="single" w:sz="4" w:space="0" w:color="auto"/>
              <w:left w:val="single" w:sz="4" w:space="0" w:color="auto"/>
              <w:bottom w:val="single" w:sz="4" w:space="0" w:color="auto"/>
              <w:right w:val="single" w:sz="4" w:space="0" w:color="auto"/>
            </w:tcBorders>
            <w:hideMark/>
          </w:tcPr>
          <w:p w14:paraId="21F78F29" w14:textId="77777777" w:rsidR="00E97223" w:rsidRPr="00E97223" w:rsidRDefault="00E97223" w:rsidP="00C1090C">
            <w:pPr>
              <w:pStyle w:val="TAL"/>
              <w:rPr>
                <w:rFonts w:eastAsia="MS Mincho"/>
                <w:sz w:val="14"/>
                <w:szCs w:val="16"/>
                <w:lang w:eastAsia="ja-JP"/>
              </w:rPr>
            </w:pPr>
            <w:r w:rsidRPr="00E97223">
              <w:rPr>
                <w:rFonts w:eastAsia="MS Mincho"/>
                <w:sz w:val="14"/>
                <w:szCs w:val="16"/>
                <w:lang w:eastAsia="ja-JP"/>
              </w:rPr>
              <w:t>N/A</w:t>
            </w:r>
          </w:p>
        </w:tc>
      </w:tr>
    </w:tbl>
    <w:p w14:paraId="4EA3E2D8" w14:textId="77777777" w:rsidR="00C519F5" w:rsidRDefault="00C519F5" w:rsidP="00E97223">
      <w:pPr>
        <w:pStyle w:val="BodyText"/>
      </w:pPr>
    </w:p>
    <w:p w14:paraId="3DBA2204" w14:textId="5E8FD324" w:rsidR="00E97223" w:rsidRPr="00830DBD" w:rsidRDefault="00E97223" w:rsidP="00E97223">
      <w:pPr>
        <w:pStyle w:val="BodyText"/>
        <w:rPr>
          <w:rFonts w:ascii="Times New Roman" w:hAnsi="Times New Roman"/>
        </w:rPr>
      </w:pPr>
      <w:r w:rsidRPr="00830DBD">
        <w:rPr>
          <w:rFonts w:ascii="Times New Roman" w:hAnsi="Times New Roman"/>
        </w:rPr>
        <w:t>Table 2 continues: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024"/>
        <w:gridCol w:w="1150"/>
        <w:gridCol w:w="1119"/>
        <w:gridCol w:w="3671"/>
        <w:gridCol w:w="1531"/>
      </w:tblGrid>
      <w:tr w:rsidR="00C005E4" w:rsidRPr="00C005E4" w14:paraId="29753ADB" w14:textId="77777777" w:rsidTr="00CA53B2">
        <w:tc>
          <w:tcPr>
            <w:tcW w:w="589" w:type="pct"/>
            <w:tcBorders>
              <w:top w:val="single" w:sz="4" w:space="0" w:color="auto"/>
              <w:left w:val="single" w:sz="4" w:space="0" w:color="auto"/>
              <w:bottom w:val="single" w:sz="4" w:space="0" w:color="auto"/>
              <w:right w:val="single" w:sz="4" w:space="0" w:color="auto"/>
            </w:tcBorders>
            <w:hideMark/>
          </w:tcPr>
          <w:p w14:paraId="37267533" w14:textId="77777777" w:rsidR="00C005E4" w:rsidRPr="00C005E4" w:rsidRDefault="00C005E4" w:rsidP="00C1090C">
            <w:pPr>
              <w:pStyle w:val="TAN"/>
              <w:ind w:left="0" w:firstLine="0"/>
              <w:rPr>
                <w:b/>
                <w:sz w:val="14"/>
                <w:szCs w:val="16"/>
                <w:lang w:eastAsia="ja-JP"/>
              </w:rPr>
            </w:pPr>
            <w:r w:rsidRPr="00C005E4">
              <w:rPr>
                <w:b/>
                <w:sz w:val="14"/>
                <w:szCs w:val="16"/>
                <w:lang w:eastAsia="ja-JP"/>
              </w:rPr>
              <w:t>Consequence if the feature is not supported by the UE</w:t>
            </w:r>
          </w:p>
        </w:tc>
        <w:tc>
          <w:tcPr>
            <w:tcW w:w="532" w:type="pct"/>
            <w:tcBorders>
              <w:top w:val="single" w:sz="4" w:space="0" w:color="auto"/>
              <w:left w:val="single" w:sz="4" w:space="0" w:color="auto"/>
              <w:bottom w:val="single" w:sz="4" w:space="0" w:color="auto"/>
              <w:right w:val="single" w:sz="4" w:space="0" w:color="auto"/>
            </w:tcBorders>
            <w:hideMark/>
          </w:tcPr>
          <w:p w14:paraId="596B0835" w14:textId="77777777" w:rsidR="00C005E4" w:rsidRPr="00C005E4" w:rsidRDefault="00C005E4" w:rsidP="00C1090C">
            <w:pPr>
              <w:pStyle w:val="TAN"/>
              <w:ind w:left="0" w:firstLine="0"/>
              <w:rPr>
                <w:b/>
                <w:sz w:val="14"/>
                <w:szCs w:val="16"/>
                <w:lang w:eastAsia="ja-JP"/>
              </w:rPr>
            </w:pPr>
            <w:r w:rsidRPr="00C005E4">
              <w:rPr>
                <w:b/>
                <w:sz w:val="14"/>
                <w:szCs w:val="16"/>
                <w:lang w:eastAsia="ja-JP"/>
              </w:rPr>
              <w:t>Type</w:t>
            </w:r>
          </w:p>
          <w:p w14:paraId="7A26BB8E" w14:textId="77777777" w:rsidR="00C005E4" w:rsidRPr="00C005E4" w:rsidRDefault="00C005E4" w:rsidP="00C1090C">
            <w:pPr>
              <w:pStyle w:val="TAL"/>
              <w:rPr>
                <w:sz w:val="14"/>
                <w:szCs w:val="16"/>
                <w:lang w:eastAsia="ja-JP"/>
              </w:rPr>
            </w:pPr>
            <w:r w:rsidRPr="00C005E4">
              <w:rPr>
                <w:b/>
                <w:sz w:val="14"/>
                <w:szCs w:val="16"/>
                <w:lang w:eastAsia="ja-JP"/>
              </w:rPr>
              <w:t>(the ‘type’ definition from UE features should be based on the granularity of 1) Per UE or 2) Per Band or 3) Per BC or 4) Per FS or 5) Per FSPC)</w:t>
            </w:r>
          </w:p>
        </w:tc>
        <w:tc>
          <w:tcPr>
            <w:tcW w:w="597" w:type="pct"/>
            <w:tcBorders>
              <w:top w:val="single" w:sz="4" w:space="0" w:color="auto"/>
              <w:left w:val="single" w:sz="4" w:space="0" w:color="auto"/>
              <w:bottom w:val="single" w:sz="4" w:space="0" w:color="auto"/>
              <w:right w:val="single" w:sz="4" w:space="0" w:color="auto"/>
            </w:tcBorders>
            <w:hideMark/>
          </w:tcPr>
          <w:p w14:paraId="3AF642C7" w14:textId="77777777" w:rsidR="00C005E4" w:rsidRPr="00C005E4" w:rsidRDefault="00C005E4" w:rsidP="00C1090C">
            <w:pPr>
              <w:pStyle w:val="TAH"/>
              <w:rPr>
                <w:sz w:val="14"/>
                <w:szCs w:val="16"/>
              </w:rPr>
            </w:pPr>
            <w:r w:rsidRPr="00C005E4">
              <w:rPr>
                <w:sz w:val="14"/>
                <w:szCs w:val="16"/>
              </w:rPr>
              <w:t>Need of FDD/TDD differentiation</w:t>
            </w:r>
          </w:p>
        </w:tc>
        <w:tc>
          <w:tcPr>
            <w:tcW w:w="581" w:type="pct"/>
            <w:tcBorders>
              <w:top w:val="single" w:sz="4" w:space="0" w:color="auto"/>
              <w:left w:val="single" w:sz="4" w:space="0" w:color="auto"/>
              <w:bottom w:val="single" w:sz="4" w:space="0" w:color="auto"/>
              <w:right w:val="single" w:sz="4" w:space="0" w:color="auto"/>
            </w:tcBorders>
            <w:hideMark/>
          </w:tcPr>
          <w:p w14:paraId="146CA071" w14:textId="77777777" w:rsidR="00C005E4" w:rsidRPr="00C005E4" w:rsidRDefault="00C005E4" w:rsidP="00C1090C">
            <w:pPr>
              <w:pStyle w:val="TAH"/>
              <w:rPr>
                <w:sz w:val="14"/>
                <w:szCs w:val="16"/>
              </w:rPr>
            </w:pPr>
            <w:r w:rsidRPr="00C005E4">
              <w:rPr>
                <w:sz w:val="14"/>
                <w:szCs w:val="16"/>
              </w:rPr>
              <w:t>Capability interpretation for mixture of FDD/TDD</w:t>
            </w:r>
          </w:p>
        </w:tc>
        <w:tc>
          <w:tcPr>
            <w:tcW w:w="1906" w:type="pct"/>
            <w:tcBorders>
              <w:top w:val="single" w:sz="4" w:space="0" w:color="auto"/>
              <w:left w:val="single" w:sz="4" w:space="0" w:color="auto"/>
              <w:bottom w:val="single" w:sz="4" w:space="0" w:color="auto"/>
              <w:right w:val="single" w:sz="4" w:space="0" w:color="auto"/>
            </w:tcBorders>
            <w:hideMark/>
          </w:tcPr>
          <w:p w14:paraId="2653C1DB" w14:textId="77777777" w:rsidR="00C005E4" w:rsidRPr="00C005E4" w:rsidRDefault="00C005E4" w:rsidP="00C1090C">
            <w:pPr>
              <w:pStyle w:val="TAH"/>
              <w:rPr>
                <w:sz w:val="14"/>
                <w:szCs w:val="16"/>
              </w:rPr>
            </w:pPr>
            <w:r w:rsidRPr="00C005E4">
              <w:rPr>
                <w:sz w:val="14"/>
                <w:szCs w:val="16"/>
              </w:rPr>
              <w:t>Note</w:t>
            </w:r>
          </w:p>
        </w:tc>
        <w:tc>
          <w:tcPr>
            <w:tcW w:w="795" w:type="pct"/>
            <w:tcBorders>
              <w:top w:val="single" w:sz="4" w:space="0" w:color="auto"/>
              <w:left w:val="single" w:sz="4" w:space="0" w:color="auto"/>
              <w:bottom w:val="single" w:sz="4" w:space="0" w:color="auto"/>
              <w:right w:val="single" w:sz="4" w:space="0" w:color="auto"/>
            </w:tcBorders>
            <w:hideMark/>
          </w:tcPr>
          <w:p w14:paraId="7640A7E0" w14:textId="77777777" w:rsidR="00C005E4" w:rsidRPr="00C005E4" w:rsidRDefault="00C005E4" w:rsidP="00C1090C">
            <w:pPr>
              <w:pStyle w:val="TAH"/>
              <w:rPr>
                <w:sz w:val="14"/>
                <w:szCs w:val="16"/>
              </w:rPr>
            </w:pPr>
            <w:r w:rsidRPr="00C005E4">
              <w:rPr>
                <w:sz w:val="14"/>
                <w:szCs w:val="16"/>
              </w:rPr>
              <w:t>Mandatory/Optional</w:t>
            </w:r>
          </w:p>
        </w:tc>
      </w:tr>
      <w:tr w:rsidR="00C005E4" w:rsidRPr="00C005E4" w14:paraId="721090DA" w14:textId="77777777" w:rsidTr="00CA53B2">
        <w:tc>
          <w:tcPr>
            <w:tcW w:w="589" w:type="pct"/>
            <w:tcBorders>
              <w:top w:val="single" w:sz="4" w:space="0" w:color="auto"/>
              <w:left w:val="single" w:sz="4" w:space="0" w:color="auto"/>
              <w:bottom w:val="single" w:sz="4" w:space="0" w:color="auto"/>
              <w:right w:val="single" w:sz="4" w:space="0" w:color="auto"/>
            </w:tcBorders>
            <w:hideMark/>
          </w:tcPr>
          <w:p w14:paraId="36FE1827" w14:textId="77777777" w:rsidR="00C005E4" w:rsidRPr="00C005E4" w:rsidRDefault="00C005E4" w:rsidP="00C1090C">
            <w:pPr>
              <w:pStyle w:val="TAL"/>
              <w:rPr>
                <w:rFonts w:eastAsia="MS Mincho"/>
                <w:sz w:val="14"/>
                <w:szCs w:val="16"/>
                <w:lang w:eastAsia="ja-JP"/>
              </w:rPr>
            </w:pPr>
            <w:r w:rsidRPr="00C005E4">
              <w:rPr>
                <w:rFonts w:eastAsia="MS Mincho"/>
                <w:sz w:val="14"/>
                <w:szCs w:val="16"/>
                <w:lang w:eastAsia="ja-JP"/>
              </w:rPr>
              <w:t>The network cannot schedule a unicast NPUSCH modulated with 16-QAM for the UE</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4CF16A02" w14:textId="77777777" w:rsidR="00C005E4" w:rsidRPr="00C005E4" w:rsidRDefault="00C005E4" w:rsidP="00C1090C">
            <w:pPr>
              <w:pStyle w:val="TAL"/>
              <w:rPr>
                <w:sz w:val="14"/>
                <w:szCs w:val="16"/>
                <w:lang w:eastAsia="ja-JP"/>
              </w:rPr>
            </w:pPr>
            <w:r w:rsidRPr="00C005E4">
              <w:rPr>
                <w:sz w:val="14"/>
                <w:szCs w:val="16"/>
                <w:lang w:eastAsia="ja-JP"/>
              </w:rPr>
              <w:t>Per UE</w:t>
            </w:r>
          </w:p>
        </w:tc>
        <w:tc>
          <w:tcPr>
            <w:tcW w:w="597" w:type="pct"/>
            <w:tcBorders>
              <w:top w:val="single" w:sz="4" w:space="0" w:color="auto"/>
              <w:left w:val="single" w:sz="4" w:space="0" w:color="auto"/>
              <w:bottom w:val="single" w:sz="4" w:space="0" w:color="auto"/>
              <w:right w:val="single" w:sz="4" w:space="0" w:color="auto"/>
            </w:tcBorders>
            <w:shd w:val="clear" w:color="auto" w:fill="FFFF00"/>
            <w:hideMark/>
          </w:tcPr>
          <w:p w14:paraId="647CA066" w14:textId="77777777" w:rsidR="00C005E4" w:rsidRPr="00C005E4" w:rsidRDefault="00C005E4" w:rsidP="00C1090C">
            <w:pPr>
              <w:pStyle w:val="TAL"/>
              <w:rPr>
                <w:rFonts w:eastAsia="MS Mincho"/>
                <w:sz w:val="14"/>
                <w:szCs w:val="16"/>
                <w:lang w:eastAsia="ja-JP"/>
              </w:rPr>
            </w:pPr>
            <w:r w:rsidRPr="00C005E4">
              <w:rPr>
                <w:rFonts w:eastAsia="MS Mincho"/>
                <w:sz w:val="14"/>
                <w:szCs w:val="16"/>
                <w:lang w:eastAsia="ja-JP"/>
              </w:rPr>
              <w:t>[Yes]</w:t>
            </w:r>
          </w:p>
        </w:tc>
        <w:tc>
          <w:tcPr>
            <w:tcW w:w="581" w:type="pct"/>
            <w:tcBorders>
              <w:top w:val="single" w:sz="4" w:space="0" w:color="auto"/>
              <w:left w:val="single" w:sz="4" w:space="0" w:color="auto"/>
              <w:bottom w:val="single" w:sz="4" w:space="0" w:color="auto"/>
              <w:right w:val="single" w:sz="4" w:space="0" w:color="auto"/>
            </w:tcBorders>
            <w:shd w:val="clear" w:color="auto" w:fill="FFFF00"/>
            <w:hideMark/>
          </w:tcPr>
          <w:p w14:paraId="1C224272" w14:textId="77777777" w:rsidR="00C005E4" w:rsidRPr="00C005E4" w:rsidRDefault="00C005E4" w:rsidP="00C1090C">
            <w:pPr>
              <w:pStyle w:val="TAL"/>
              <w:rPr>
                <w:rFonts w:eastAsia="MS Mincho"/>
                <w:sz w:val="14"/>
                <w:szCs w:val="16"/>
                <w:lang w:eastAsia="ja-JP"/>
              </w:rPr>
            </w:pPr>
            <w:r w:rsidRPr="00C005E4">
              <w:rPr>
                <w:rFonts w:eastAsia="MS Mincho"/>
                <w:sz w:val="14"/>
                <w:szCs w:val="16"/>
                <w:lang w:eastAsia="ja-JP"/>
              </w:rPr>
              <w:t>N/A</w:t>
            </w:r>
          </w:p>
        </w:tc>
        <w:tc>
          <w:tcPr>
            <w:tcW w:w="1906" w:type="pct"/>
            <w:tcBorders>
              <w:top w:val="single" w:sz="4" w:space="0" w:color="auto"/>
              <w:left w:val="single" w:sz="4" w:space="0" w:color="auto"/>
              <w:bottom w:val="single" w:sz="4" w:space="0" w:color="auto"/>
              <w:right w:val="single" w:sz="4" w:space="0" w:color="auto"/>
            </w:tcBorders>
          </w:tcPr>
          <w:p w14:paraId="695BDDA3" w14:textId="27EBBFB7" w:rsidR="00C005E4" w:rsidRPr="00AE2C1C" w:rsidRDefault="00AE2C1C" w:rsidP="00C1090C">
            <w:pPr>
              <w:pStyle w:val="TAL"/>
              <w:rPr>
                <w:sz w:val="14"/>
                <w:szCs w:val="14"/>
              </w:rPr>
            </w:pPr>
            <w:r w:rsidRPr="00AE2C1C">
              <w:rPr>
                <w:sz w:val="14"/>
                <w:szCs w:val="14"/>
                <w:lang w:val="en-US"/>
              </w:rPr>
              <w:t>It is RAN1 assumption that 16-QAM for unicast in UL is compatible with all other NB-IoT features in connected-mode plus PUR</w:t>
            </w:r>
          </w:p>
        </w:tc>
        <w:tc>
          <w:tcPr>
            <w:tcW w:w="795" w:type="pct"/>
            <w:tcBorders>
              <w:top w:val="single" w:sz="4" w:space="0" w:color="auto"/>
              <w:left w:val="single" w:sz="4" w:space="0" w:color="auto"/>
              <w:bottom w:val="single" w:sz="4" w:space="0" w:color="auto"/>
              <w:right w:val="single" w:sz="4" w:space="0" w:color="auto"/>
            </w:tcBorders>
            <w:hideMark/>
          </w:tcPr>
          <w:p w14:paraId="0452A856" w14:textId="77777777" w:rsidR="00C005E4" w:rsidRPr="00C005E4" w:rsidRDefault="00C005E4" w:rsidP="00C1090C">
            <w:pPr>
              <w:pStyle w:val="TAL"/>
              <w:rPr>
                <w:sz w:val="14"/>
                <w:szCs w:val="16"/>
                <w:lang w:eastAsia="ja-JP"/>
              </w:rPr>
            </w:pPr>
            <w:r w:rsidRPr="00C005E4">
              <w:rPr>
                <w:rFonts w:eastAsia="MS Mincho"/>
                <w:sz w:val="14"/>
                <w:szCs w:val="16"/>
                <w:lang w:eastAsia="ja-JP"/>
              </w:rPr>
              <w:t>Optional with capability signaling</w:t>
            </w:r>
          </w:p>
        </w:tc>
      </w:tr>
    </w:tbl>
    <w:p w14:paraId="372E57B9" w14:textId="77777777" w:rsidR="00B133CC" w:rsidRDefault="00B133CC" w:rsidP="00B133CC">
      <w:pPr>
        <w:pStyle w:val="BodyText"/>
      </w:pPr>
    </w:p>
    <w:p w14:paraId="5D8A20FB" w14:textId="4736C92F" w:rsidR="00E91886" w:rsidRDefault="00E91886" w:rsidP="00E91886">
      <w:pPr>
        <w:pStyle w:val="BodyText"/>
        <w:rPr>
          <w:rFonts w:ascii="Times New Roman" w:eastAsia="Times New Roman" w:hAnsi="Times New Roman"/>
        </w:rPr>
      </w:pPr>
      <w:r w:rsidRPr="00412BA5">
        <w:rPr>
          <w:rFonts w:ascii="Times New Roman" w:eastAsia="Times New Roman" w:hAnsi="Times New Roman"/>
        </w:rPr>
        <w:lastRenderedPageBreak/>
        <w:t xml:space="preserve">For the UE feature </w:t>
      </w:r>
      <w:r>
        <w:rPr>
          <w:rFonts w:ascii="Times New Roman" w:eastAsia="Times New Roman" w:hAnsi="Times New Roman"/>
        </w:rPr>
        <w:t>list above related with</w:t>
      </w:r>
      <w:r w:rsidRPr="00412BA5">
        <w:rPr>
          <w:rFonts w:ascii="Times New Roman" w:eastAsia="Times New Roman" w:hAnsi="Times New Roman"/>
        </w:rPr>
        <w:t xml:space="preserve"> 16-QAM in </w:t>
      </w:r>
      <w:r>
        <w:rPr>
          <w:rFonts w:ascii="Times New Roman" w:eastAsia="Times New Roman" w:hAnsi="Times New Roman"/>
        </w:rPr>
        <w:t>U</w:t>
      </w:r>
      <w:r w:rsidRPr="00412BA5">
        <w:rPr>
          <w:rFonts w:ascii="Times New Roman" w:eastAsia="Times New Roman" w:hAnsi="Times New Roman"/>
        </w:rPr>
        <w:t xml:space="preserve">L, the observations, and proposals we have can be found in section 2.3 which are related </w:t>
      </w:r>
      <w:r>
        <w:rPr>
          <w:rFonts w:ascii="Times New Roman" w:eastAsia="Times New Roman" w:hAnsi="Times New Roman"/>
        </w:rPr>
        <w:t xml:space="preserve">to the following </w:t>
      </w:r>
      <w:r w:rsidRPr="00412BA5">
        <w:rPr>
          <w:rFonts w:ascii="Times New Roman" w:eastAsia="Times New Roman" w:hAnsi="Times New Roman"/>
        </w:rPr>
        <w:t>column</w:t>
      </w:r>
      <w:r>
        <w:rPr>
          <w:rFonts w:ascii="Times New Roman" w:eastAsia="Times New Roman" w:hAnsi="Times New Roman"/>
        </w:rPr>
        <w:t>s: “</w:t>
      </w:r>
      <w:r w:rsidRPr="00612DE0">
        <w:rPr>
          <w:rFonts w:ascii="Times New Roman" w:eastAsia="Times New Roman" w:hAnsi="Times New Roman"/>
          <w:i/>
          <w:iCs/>
        </w:rPr>
        <w:t>Type</w:t>
      </w:r>
      <w:r>
        <w:rPr>
          <w:rFonts w:ascii="Times New Roman" w:eastAsia="Times New Roman" w:hAnsi="Times New Roman"/>
        </w:rPr>
        <w:t>”,</w:t>
      </w:r>
      <w:r w:rsidRPr="00412BA5">
        <w:rPr>
          <w:rFonts w:ascii="Times New Roman" w:eastAsia="Times New Roman" w:hAnsi="Times New Roman"/>
        </w:rPr>
        <w:t xml:space="preserve"> “</w:t>
      </w:r>
      <w:r w:rsidRPr="00412BA5">
        <w:rPr>
          <w:rFonts w:ascii="Times New Roman" w:eastAsia="Times New Roman" w:hAnsi="Times New Roman"/>
          <w:i/>
        </w:rPr>
        <w:t>Need of FDD/TDD differentiation</w:t>
      </w:r>
      <w:r w:rsidRPr="00412BA5">
        <w:rPr>
          <w:rFonts w:ascii="Times New Roman" w:eastAsia="Times New Roman" w:hAnsi="Times New Roman"/>
        </w:rPr>
        <w:t>”</w:t>
      </w:r>
      <w:r>
        <w:rPr>
          <w:rFonts w:ascii="Times New Roman" w:eastAsia="Times New Roman" w:hAnsi="Times New Roman"/>
        </w:rPr>
        <w:t>, and “</w:t>
      </w:r>
      <w:r w:rsidRPr="00612DE0">
        <w:rPr>
          <w:rFonts w:ascii="Times New Roman" w:eastAsia="Times New Roman" w:hAnsi="Times New Roman"/>
          <w:i/>
          <w:iCs/>
        </w:rPr>
        <w:t>Capability interpretation for mixture of FDD/TDD</w:t>
      </w:r>
      <w:r>
        <w:rPr>
          <w:rFonts w:ascii="Times New Roman" w:eastAsia="Times New Roman" w:hAnsi="Times New Roman"/>
        </w:rPr>
        <w:t>”.</w:t>
      </w:r>
    </w:p>
    <w:p w14:paraId="294FC080" w14:textId="37AE6430" w:rsidR="00B133CC" w:rsidRDefault="00B133CC" w:rsidP="00B133CC">
      <w:pPr>
        <w:pStyle w:val="Heading2"/>
      </w:pPr>
      <w:r>
        <w:t>2.3</w:t>
      </w:r>
      <w:r>
        <w:tab/>
      </w:r>
      <w:r w:rsidR="008F3E40">
        <w:t>Observations/Proposals</w:t>
      </w:r>
      <w:r>
        <w:t xml:space="preserve"> on 16</w:t>
      </w:r>
      <w:r w:rsidR="0006771C">
        <w:t>-</w:t>
      </w:r>
      <w:r>
        <w:t xml:space="preserve">QAM for unicast in UL </w:t>
      </w:r>
      <w:r w:rsidR="008F3E40">
        <w:t>&amp;</w:t>
      </w:r>
      <w:r>
        <w:t xml:space="preserve"> DL</w:t>
      </w:r>
    </w:p>
    <w:p w14:paraId="1A730FE6" w14:textId="31A81A9D" w:rsidR="00232A55" w:rsidRDefault="00232A55" w:rsidP="00B133CC">
      <w:pPr>
        <w:pStyle w:val="Observation"/>
        <w:ind w:left="1701" w:hanging="1701"/>
      </w:pPr>
      <w:bookmarkStart w:id="2" w:name="_Toc90045091"/>
      <w:r>
        <w:t>During RAN1# 107-e, it was discussed whether the “Type” of the Rel-17 features should be</w:t>
      </w:r>
      <w:r w:rsidR="004E0565">
        <w:t xml:space="preserve"> defined</w:t>
      </w:r>
      <w:r>
        <w:t xml:space="preserve"> “Per UE” or “Per Band”.</w:t>
      </w:r>
      <w:bookmarkEnd w:id="2"/>
      <w:r>
        <w:t xml:space="preserve"> </w:t>
      </w:r>
    </w:p>
    <w:p w14:paraId="1911CBAF" w14:textId="4C917864" w:rsidR="00500A64" w:rsidRDefault="00500A64" w:rsidP="00500A64">
      <w:pPr>
        <w:pStyle w:val="Observation"/>
        <w:ind w:left="1701" w:hanging="1701"/>
      </w:pPr>
      <w:bookmarkStart w:id="3" w:name="_Toc90045092"/>
      <w:r>
        <w:t xml:space="preserve">In our view, as for legacy features, the Type </w:t>
      </w:r>
      <w:r w:rsidR="00E71DD5">
        <w:t>of</w:t>
      </w:r>
      <w:r>
        <w:t xml:space="preserve"> Rel-17 features built under a </w:t>
      </w:r>
      <w:r w:rsidR="00E71DD5">
        <w:t xml:space="preserve">L1 </w:t>
      </w:r>
      <w:r>
        <w:t>Terrestrial context should in principle be defined “Per UE”.</w:t>
      </w:r>
      <w:bookmarkEnd w:id="3"/>
      <w:r>
        <w:t xml:space="preserve"> </w:t>
      </w:r>
    </w:p>
    <w:p w14:paraId="07B7663C" w14:textId="117683F7" w:rsidR="00215120" w:rsidRDefault="00232A55" w:rsidP="00215120">
      <w:pPr>
        <w:pStyle w:val="Observation"/>
        <w:ind w:left="1701" w:hanging="1701"/>
      </w:pPr>
      <w:bookmarkStart w:id="4" w:name="_Toc90045093"/>
      <w:r>
        <w:t xml:space="preserve">The </w:t>
      </w:r>
      <w:r w:rsidR="00625D28">
        <w:t>motivation for</w:t>
      </w:r>
      <w:r>
        <w:t xml:space="preserve"> defining the “Type” as “Per Band” </w:t>
      </w:r>
      <w:r w:rsidR="00625D28">
        <w:t>has been around</w:t>
      </w:r>
      <w:r>
        <w:t xml:space="preserve"> “NTN” and </w:t>
      </w:r>
      <w:r w:rsidR="00BB3D94">
        <w:t>an</w:t>
      </w:r>
      <w:r>
        <w:t xml:space="preserve"> “</w:t>
      </w:r>
      <w:r w:rsidRPr="00232A55">
        <w:t>RF impact (Tx and Rx EVM)</w:t>
      </w:r>
      <w:r>
        <w:t xml:space="preserve">”. However, </w:t>
      </w:r>
      <w:r w:rsidR="00BB3D94">
        <w:t xml:space="preserve">such </w:t>
      </w:r>
      <w:r>
        <w:t>a motivation</w:t>
      </w:r>
      <w:r w:rsidR="00BB3D94">
        <w:t xml:space="preserve"> </w:t>
      </w:r>
      <w:r>
        <w:t xml:space="preserve">is outside the </w:t>
      </w:r>
      <w:r w:rsidR="00E71DD5">
        <w:t xml:space="preserve">RAN1 </w:t>
      </w:r>
      <w:r>
        <w:t>expertise.</w:t>
      </w:r>
      <w:bookmarkEnd w:id="4"/>
      <w:r w:rsidR="00215120">
        <w:t xml:space="preserve"> </w:t>
      </w:r>
    </w:p>
    <w:p w14:paraId="545EE0B5" w14:textId="63F6BB92" w:rsidR="00232A55" w:rsidRDefault="00215120" w:rsidP="00215120">
      <w:pPr>
        <w:pStyle w:val="Observation"/>
        <w:numPr>
          <w:ilvl w:val="0"/>
          <w:numId w:val="22"/>
        </w:numPr>
      </w:pPr>
      <w:bookmarkStart w:id="5" w:name="_Toc90045094"/>
      <w:r>
        <w:t xml:space="preserve">Moreover, not even “NTN IoT” has defined the “Type” as “Per Band”, since in </w:t>
      </w:r>
      <w:hyperlink r:id="rId16" w:history="1">
        <w:r w:rsidRPr="00500A64">
          <w:rPr>
            <w:rStyle w:val="Hyperlink"/>
          </w:rPr>
          <w:t>R1-2112900</w:t>
        </w:r>
      </w:hyperlink>
      <w:r>
        <w:t xml:space="preserve"> there seems to be an FFS on it</w:t>
      </w:r>
      <w:r w:rsidR="006871E3">
        <w:t>:</w:t>
      </w:r>
      <w:r>
        <w:t xml:space="preserve"> “</w:t>
      </w:r>
      <w:r w:rsidRPr="00215120">
        <w:rPr>
          <w:highlight w:val="yellow"/>
        </w:rPr>
        <w:t>[per UE/per band]</w:t>
      </w:r>
      <w:r>
        <w:t>”</w:t>
      </w:r>
      <w:bookmarkEnd w:id="5"/>
    </w:p>
    <w:p w14:paraId="5CB09D08" w14:textId="2C3EBBDD" w:rsidR="00CE1D87" w:rsidRDefault="00BB3D94" w:rsidP="00CE1D87">
      <w:pPr>
        <w:pStyle w:val="Observation"/>
        <w:ind w:left="1701" w:hanging="1701"/>
      </w:pPr>
      <w:bookmarkStart w:id="6" w:name="_Toc90045095"/>
      <w:r>
        <w:t xml:space="preserve">RAN1 </w:t>
      </w:r>
      <w:r w:rsidR="00F36616">
        <w:t>that</w:t>
      </w:r>
      <w:r>
        <w:t xml:space="preserve"> </w:t>
      </w:r>
      <w:r w:rsidR="00500A64">
        <w:t>designed</w:t>
      </w:r>
      <w:r>
        <w:t xml:space="preserve"> the Rel-17 features under a “</w:t>
      </w:r>
      <w:r w:rsidR="00500A64">
        <w:t xml:space="preserve">L1 </w:t>
      </w:r>
      <w:r>
        <w:t>Terrestrial” context does not have the expertise to acknowledge or reject motivations around</w:t>
      </w:r>
      <w:r w:rsidR="007345F8">
        <w:t xml:space="preserve"> “NTN” and “RF impact</w:t>
      </w:r>
      <w:r w:rsidR="00F316F8">
        <w:t>s</w:t>
      </w:r>
      <w:r w:rsidR="007345F8">
        <w:t>”</w:t>
      </w:r>
      <w:r w:rsidR="00CE1D87">
        <w:t xml:space="preserve">, </w:t>
      </w:r>
      <w:r w:rsidR="00A80DBC">
        <w:t>thus</w:t>
      </w:r>
      <w:r w:rsidR="00D3749A">
        <w:t xml:space="preserve"> </w:t>
      </w:r>
      <w:r w:rsidR="00CE1D87">
        <w:t>we can follow the Moderator’s suggestion of defining</w:t>
      </w:r>
      <w:r w:rsidR="004E0565">
        <w:t xml:space="preserve"> the</w:t>
      </w:r>
      <w:r w:rsidR="00CE1D87">
        <w:t xml:space="preserve"> </w:t>
      </w:r>
      <w:r w:rsidR="00CE1D87" w:rsidRPr="00A80DBC">
        <w:t xml:space="preserve">“Type of FGs 1-3 and 1-4 </w:t>
      </w:r>
      <w:r w:rsidR="004E0565">
        <w:t>(i.e., LTE-MTC features)</w:t>
      </w:r>
      <w:r w:rsidR="00CE1D87" w:rsidRPr="00A80DBC">
        <w:t xml:space="preserve"> “per UE” and </w:t>
      </w:r>
      <w:r w:rsidR="004A624C">
        <w:t>leaving</w:t>
      </w:r>
      <w:r w:rsidR="00D3749A">
        <w:t xml:space="preserve"> </w:t>
      </w:r>
      <w:r w:rsidR="00CE1D87" w:rsidRPr="00A80DBC">
        <w:t xml:space="preserve">the Type of FGs 1-1 and 1-2 </w:t>
      </w:r>
      <w:r w:rsidR="004E0565">
        <w:t xml:space="preserve">(i.e., NB-IoT features) </w:t>
      </w:r>
      <w:r w:rsidR="00CE1D87" w:rsidRPr="00A80DBC">
        <w:t>up to RAN2/RAN4”.</w:t>
      </w:r>
      <w:bookmarkEnd w:id="6"/>
    </w:p>
    <w:p w14:paraId="2B85794D" w14:textId="7E3E349F" w:rsidR="003C7E70" w:rsidRDefault="00D53EB1" w:rsidP="003C7E70">
      <w:pPr>
        <w:pStyle w:val="Proposal"/>
      </w:pPr>
      <w:bookmarkStart w:id="7" w:name="_Toc90045106"/>
      <w:r>
        <w:t>For 16-QAM for unicast in UL and DL</w:t>
      </w:r>
      <w:r w:rsidR="004E0565">
        <w:t xml:space="preserve"> (i.e., </w:t>
      </w:r>
      <w:r w:rsidR="004E0565" w:rsidRPr="00A80DBC">
        <w:t>FGs 1-1 and 1-2</w:t>
      </w:r>
      <w:r w:rsidR="004E0565">
        <w:t xml:space="preserve"> </w:t>
      </w:r>
      <w:r w:rsidR="00FA39E7">
        <w:t>in the “UE Feature list”</w:t>
      </w:r>
      <w:r w:rsidR="00500A64">
        <w:t xml:space="preserve"> respectively</w:t>
      </w:r>
      <w:r w:rsidR="004E0565">
        <w:t>)</w:t>
      </w:r>
      <w:r w:rsidR="00A80DBC">
        <w:t>, whether the “Type”</w:t>
      </w:r>
      <w:r w:rsidR="007345F8" w:rsidRPr="007345F8">
        <w:t xml:space="preserve"> </w:t>
      </w:r>
      <w:r w:rsidR="00A80DBC">
        <w:t xml:space="preserve">is </w:t>
      </w:r>
      <w:r w:rsidR="004E0565">
        <w:t xml:space="preserve">to be defined </w:t>
      </w:r>
      <w:r w:rsidR="00A80DBC">
        <w:t xml:space="preserve">“Per UE” or “Per Band” is </w:t>
      </w:r>
      <w:r w:rsidR="007345F8" w:rsidRPr="007345F8">
        <w:t>up to RAN2/RAN4</w:t>
      </w:r>
      <w:r>
        <w:t>.</w:t>
      </w:r>
      <w:bookmarkEnd w:id="7"/>
    </w:p>
    <w:p w14:paraId="4B4789AB" w14:textId="5AE16E1E" w:rsidR="0009607A" w:rsidRDefault="00D81BE5" w:rsidP="00B133CC">
      <w:pPr>
        <w:pStyle w:val="Observation"/>
        <w:ind w:left="1701" w:hanging="1701"/>
      </w:pPr>
      <w:bookmarkStart w:id="8" w:name="_Toc90045096"/>
      <w:r>
        <w:t xml:space="preserve">For </w:t>
      </w:r>
      <w:r w:rsidR="00D53EB1">
        <w:t>the</w:t>
      </w:r>
      <w:r w:rsidR="00B133CC">
        <w:t xml:space="preserve"> “Need of FDD/TDD differentiation,” </w:t>
      </w:r>
      <w:r w:rsidR="0009607A">
        <w:t>the support of 16-QAM has been developed under the context of FDD</w:t>
      </w:r>
      <w:r w:rsidR="00B133CC">
        <w:t>.</w:t>
      </w:r>
      <w:r w:rsidR="0009607A">
        <w:t xml:space="preserve"> Supporting 16-QAM for TDD has been found to result in specification impacts (See </w:t>
      </w:r>
      <w:hyperlink r:id="rId17" w:history="1">
        <w:r w:rsidR="000A1278" w:rsidRPr="00A80DBC">
          <w:rPr>
            <w:rStyle w:val="Hyperlink"/>
          </w:rPr>
          <w:t>R1-2112363</w:t>
        </w:r>
      </w:hyperlink>
      <w:r w:rsidR="0009607A">
        <w:t>), and therefore 16-QAM should only be supported for FDD operation.</w:t>
      </w:r>
      <w:bookmarkEnd w:id="8"/>
    </w:p>
    <w:p w14:paraId="0AF757DE" w14:textId="6745A219" w:rsidR="00B133CC" w:rsidRPr="00970C5E" w:rsidRDefault="0009607A" w:rsidP="00970C5E">
      <w:pPr>
        <w:pStyle w:val="Proposal"/>
      </w:pPr>
      <w:bookmarkStart w:id="9" w:name="_Toc90045107"/>
      <w:r>
        <w:t>For 16-QAM for unicast in UL and DL: The column “Need of FDD/TDD differentiation” is filled-in as “FDD only”, whereas the column “Capability interpretation for mixture of FDD/TDD”</w:t>
      </w:r>
      <w:r w:rsidR="00970C5E">
        <w:t xml:space="preserve"> is filled-in as non-applicable, that is “N/A”</w:t>
      </w:r>
      <w:r>
        <w:t>.</w:t>
      </w:r>
      <w:bookmarkEnd w:id="9"/>
    </w:p>
    <w:p w14:paraId="76738D56" w14:textId="302BFD7E" w:rsidR="00BD5B3D" w:rsidRDefault="00BD5B3D" w:rsidP="00BD5B3D">
      <w:pPr>
        <w:pStyle w:val="Heading1"/>
      </w:pPr>
      <w:r>
        <w:t>3</w:t>
      </w:r>
      <w:r>
        <w:tab/>
        <w:t>Rel-17 UE features for LTE-MTC</w:t>
      </w:r>
    </w:p>
    <w:p w14:paraId="4A02145A" w14:textId="47FF986D" w:rsidR="00BD5B3D" w:rsidRDefault="00FC5E34" w:rsidP="00BD5B3D">
      <w:pPr>
        <w:jc w:val="both"/>
      </w:pPr>
      <w:r>
        <w:t xml:space="preserve">Below we discuss the RAN1 UE feature first for </w:t>
      </w:r>
      <w:r w:rsidR="006F2E82">
        <w:t>“</w:t>
      </w:r>
      <w:r>
        <w:t>14 HARQ processes in DL for HD-FDD UEs</w:t>
      </w:r>
      <w:r w:rsidR="006F2E82">
        <w:t>”</w:t>
      </w:r>
      <w:r>
        <w:t xml:space="preserve"> and then for the </w:t>
      </w:r>
      <w:r w:rsidR="006F2E82">
        <w:t>“</w:t>
      </w:r>
      <w:r>
        <w:t>support of maximum DL TBS of 1736 bits for HD</w:t>
      </w:r>
      <w:r w:rsidR="00EF71DD">
        <w:t>-</w:t>
      </w:r>
      <w:r>
        <w:t>FDD UEs in CE Mode A only</w:t>
      </w:r>
      <w:r w:rsidR="006F2E82">
        <w:t>”</w:t>
      </w:r>
      <w:r w:rsidR="00EE1DE7">
        <w:t xml:space="preserve"> as in [3]</w:t>
      </w:r>
      <w:r>
        <w:t>.</w:t>
      </w:r>
    </w:p>
    <w:p w14:paraId="13428962" w14:textId="672B253B" w:rsidR="00BD5B3D" w:rsidRDefault="00BD5B3D" w:rsidP="00BD5B3D">
      <w:pPr>
        <w:pStyle w:val="Heading2"/>
      </w:pPr>
      <w:r>
        <w:t>3.1</w:t>
      </w:r>
      <w:r>
        <w:tab/>
        <w:t xml:space="preserve">Support of </w:t>
      </w:r>
      <w:r w:rsidRPr="00BD5B3D">
        <w:t>14 HARQ processes for PDSCH for HD-FDD Cat. M1 UEs</w:t>
      </w:r>
    </w:p>
    <w:p w14:paraId="546FCDFB" w14:textId="55196DC9" w:rsidR="00C005E4" w:rsidRDefault="00C005E4" w:rsidP="00C005E4">
      <w:pPr>
        <w:pStyle w:val="BodyText"/>
        <w:jc w:val="center"/>
        <w:rPr>
          <w:b/>
          <w:bCs/>
          <w:sz w:val="16"/>
          <w:szCs w:val="16"/>
        </w:rPr>
      </w:pPr>
      <w:r w:rsidRPr="0078341E">
        <w:rPr>
          <w:b/>
          <w:bCs/>
          <w:sz w:val="16"/>
          <w:szCs w:val="16"/>
        </w:rPr>
        <w:t xml:space="preserve">Table </w:t>
      </w:r>
      <w:r>
        <w:rPr>
          <w:b/>
          <w:bCs/>
          <w:sz w:val="16"/>
          <w:szCs w:val="16"/>
        </w:rPr>
        <w:t>3</w:t>
      </w:r>
      <w:r w:rsidRPr="0078341E">
        <w:rPr>
          <w:b/>
          <w:bCs/>
          <w:sz w:val="16"/>
          <w:szCs w:val="16"/>
        </w:rPr>
        <w:t>:</w:t>
      </w:r>
      <w:r>
        <w:rPr>
          <w:b/>
          <w:bCs/>
          <w:sz w:val="16"/>
          <w:szCs w:val="16"/>
        </w:rPr>
        <w:t xml:space="preserve"> </w:t>
      </w:r>
      <w:r w:rsidRPr="0078341E">
        <w:rPr>
          <w:b/>
          <w:bCs/>
          <w:sz w:val="16"/>
          <w:szCs w:val="16"/>
        </w:rPr>
        <w:t xml:space="preserve">RAN1 UE feature list for </w:t>
      </w:r>
      <w:r>
        <w:rPr>
          <w:b/>
          <w:bCs/>
          <w:sz w:val="16"/>
          <w:szCs w:val="16"/>
        </w:rPr>
        <w:t>14 HARQ processes in DL</w:t>
      </w:r>
      <w:r w:rsidR="00981191">
        <w:rPr>
          <w:b/>
          <w:bCs/>
          <w:sz w:val="16"/>
          <w:szCs w:val="16"/>
        </w:rPr>
        <w:t xml:space="preserve"> as endorsed in RAN1# 10</w:t>
      </w:r>
      <w:r w:rsidR="00317B88">
        <w:rPr>
          <w:b/>
          <w:bCs/>
          <w:sz w:val="16"/>
          <w:szCs w:val="16"/>
        </w:rPr>
        <w:t>7</w:t>
      </w:r>
      <w:r w:rsidR="00981191">
        <w:rPr>
          <w:b/>
          <w:bCs/>
          <w:sz w:val="16"/>
          <w:szCs w:val="16"/>
        </w:rPr>
        <w:t>-e</w:t>
      </w:r>
      <w:r>
        <w:rPr>
          <w:b/>
          <w:bCs/>
          <w:sz w:val="16"/>
          <w:szCs w:val="1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687"/>
        <w:gridCol w:w="1169"/>
        <w:gridCol w:w="1666"/>
        <w:gridCol w:w="1460"/>
        <w:gridCol w:w="1125"/>
        <w:gridCol w:w="1150"/>
      </w:tblGrid>
      <w:tr w:rsidR="00C005E4" w:rsidRPr="00C005E4" w14:paraId="49F9A34A" w14:textId="77777777" w:rsidTr="005A4CDD">
        <w:tc>
          <w:tcPr>
            <w:tcW w:w="1232" w:type="pct"/>
            <w:tcBorders>
              <w:top w:val="single" w:sz="4" w:space="0" w:color="auto"/>
              <w:left w:val="single" w:sz="4" w:space="0" w:color="auto"/>
              <w:bottom w:val="single" w:sz="4" w:space="0" w:color="auto"/>
              <w:right w:val="single" w:sz="4" w:space="0" w:color="auto"/>
            </w:tcBorders>
            <w:hideMark/>
          </w:tcPr>
          <w:p w14:paraId="3F91D834" w14:textId="77777777" w:rsidR="00C005E4" w:rsidRPr="00C005E4" w:rsidRDefault="00C005E4" w:rsidP="00C1090C">
            <w:pPr>
              <w:pStyle w:val="TAH"/>
              <w:rPr>
                <w:sz w:val="14"/>
                <w:szCs w:val="16"/>
              </w:rPr>
            </w:pPr>
            <w:r w:rsidRPr="00C005E4">
              <w:rPr>
                <w:sz w:val="14"/>
                <w:szCs w:val="16"/>
              </w:rPr>
              <w:lastRenderedPageBreak/>
              <w:t>Features</w:t>
            </w:r>
          </w:p>
        </w:tc>
        <w:tc>
          <w:tcPr>
            <w:tcW w:w="357" w:type="pct"/>
            <w:tcBorders>
              <w:top w:val="single" w:sz="4" w:space="0" w:color="auto"/>
              <w:left w:val="single" w:sz="4" w:space="0" w:color="auto"/>
              <w:bottom w:val="single" w:sz="4" w:space="0" w:color="auto"/>
              <w:right w:val="single" w:sz="4" w:space="0" w:color="auto"/>
            </w:tcBorders>
            <w:hideMark/>
          </w:tcPr>
          <w:p w14:paraId="59200BA5" w14:textId="77777777" w:rsidR="00C005E4" w:rsidRPr="00C005E4" w:rsidRDefault="00C005E4" w:rsidP="00C1090C">
            <w:pPr>
              <w:pStyle w:val="TAH"/>
              <w:rPr>
                <w:sz w:val="14"/>
                <w:szCs w:val="16"/>
              </w:rPr>
            </w:pPr>
            <w:r w:rsidRPr="00C005E4">
              <w:rPr>
                <w:sz w:val="14"/>
                <w:szCs w:val="16"/>
              </w:rPr>
              <w:t>Index</w:t>
            </w:r>
          </w:p>
        </w:tc>
        <w:tc>
          <w:tcPr>
            <w:tcW w:w="607" w:type="pct"/>
            <w:tcBorders>
              <w:top w:val="single" w:sz="4" w:space="0" w:color="auto"/>
              <w:left w:val="single" w:sz="4" w:space="0" w:color="auto"/>
              <w:bottom w:val="single" w:sz="4" w:space="0" w:color="auto"/>
              <w:right w:val="single" w:sz="4" w:space="0" w:color="auto"/>
            </w:tcBorders>
            <w:hideMark/>
          </w:tcPr>
          <w:p w14:paraId="3D6BA118" w14:textId="77777777" w:rsidR="00C005E4" w:rsidRPr="00C005E4" w:rsidRDefault="00C005E4" w:rsidP="00C1090C">
            <w:pPr>
              <w:pStyle w:val="TAH"/>
              <w:rPr>
                <w:sz w:val="14"/>
                <w:szCs w:val="16"/>
              </w:rPr>
            </w:pPr>
            <w:r w:rsidRPr="00C005E4">
              <w:rPr>
                <w:sz w:val="14"/>
                <w:szCs w:val="16"/>
              </w:rPr>
              <w:t>Feature group</w:t>
            </w:r>
          </w:p>
        </w:tc>
        <w:tc>
          <w:tcPr>
            <w:tcW w:w="865" w:type="pct"/>
            <w:tcBorders>
              <w:top w:val="single" w:sz="4" w:space="0" w:color="auto"/>
              <w:left w:val="single" w:sz="4" w:space="0" w:color="auto"/>
              <w:bottom w:val="single" w:sz="4" w:space="0" w:color="auto"/>
              <w:right w:val="single" w:sz="4" w:space="0" w:color="auto"/>
            </w:tcBorders>
            <w:hideMark/>
          </w:tcPr>
          <w:p w14:paraId="650FDBA0" w14:textId="77777777" w:rsidR="00C005E4" w:rsidRPr="00C005E4" w:rsidRDefault="00C005E4" w:rsidP="00C1090C">
            <w:pPr>
              <w:pStyle w:val="TAH"/>
              <w:rPr>
                <w:sz w:val="14"/>
                <w:szCs w:val="16"/>
              </w:rPr>
            </w:pPr>
            <w:r w:rsidRPr="00C005E4">
              <w:rPr>
                <w:sz w:val="14"/>
                <w:szCs w:val="16"/>
              </w:rPr>
              <w:t>Components</w:t>
            </w:r>
          </w:p>
        </w:tc>
        <w:tc>
          <w:tcPr>
            <w:tcW w:w="758" w:type="pct"/>
            <w:tcBorders>
              <w:top w:val="single" w:sz="4" w:space="0" w:color="auto"/>
              <w:left w:val="single" w:sz="4" w:space="0" w:color="auto"/>
              <w:bottom w:val="single" w:sz="4" w:space="0" w:color="auto"/>
              <w:right w:val="single" w:sz="4" w:space="0" w:color="auto"/>
            </w:tcBorders>
            <w:hideMark/>
          </w:tcPr>
          <w:p w14:paraId="2C697506" w14:textId="77777777" w:rsidR="00C005E4" w:rsidRPr="00C005E4" w:rsidRDefault="00C005E4" w:rsidP="00C1090C">
            <w:pPr>
              <w:pStyle w:val="TAH"/>
              <w:rPr>
                <w:sz w:val="14"/>
                <w:szCs w:val="16"/>
              </w:rPr>
            </w:pPr>
            <w:r w:rsidRPr="00C005E4">
              <w:rPr>
                <w:sz w:val="14"/>
                <w:szCs w:val="16"/>
              </w:rPr>
              <w:t>Prerequisite feature groups</w:t>
            </w:r>
          </w:p>
        </w:tc>
        <w:tc>
          <w:tcPr>
            <w:tcW w:w="584" w:type="pct"/>
            <w:tcBorders>
              <w:top w:val="single" w:sz="4" w:space="0" w:color="auto"/>
              <w:left w:val="single" w:sz="4" w:space="0" w:color="auto"/>
              <w:bottom w:val="single" w:sz="4" w:space="0" w:color="auto"/>
              <w:right w:val="single" w:sz="4" w:space="0" w:color="auto"/>
            </w:tcBorders>
            <w:hideMark/>
          </w:tcPr>
          <w:p w14:paraId="64BB303C" w14:textId="77777777" w:rsidR="00C005E4" w:rsidRPr="00C005E4" w:rsidRDefault="00C005E4" w:rsidP="00C1090C">
            <w:pPr>
              <w:pStyle w:val="TAH"/>
              <w:rPr>
                <w:sz w:val="14"/>
                <w:szCs w:val="16"/>
              </w:rPr>
            </w:pPr>
            <w:r w:rsidRPr="00C005E4">
              <w:rPr>
                <w:sz w:val="14"/>
                <w:szCs w:val="16"/>
              </w:rPr>
              <w:t>Need for the eNB to know if the feature is supported</w:t>
            </w:r>
          </w:p>
        </w:tc>
        <w:tc>
          <w:tcPr>
            <w:tcW w:w="597" w:type="pct"/>
            <w:tcBorders>
              <w:top w:val="single" w:sz="4" w:space="0" w:color="auto"/>
              <w:left w:val="single" w:sz="4" w:space="0" w:color="auto"/>
              <w:bottom w:val="single" w:sz="4" w:space="0" w:color="auto"/>
              <w:right w:val="single" w:sz="4" w:space="0" w:color="auto"/>
            </w:tcBorders>
            <w:hideMark/>
          </w:tcPr>
          <w:p w14:paraId="7C364B74" w14:textId="77777777" w:rsidR="00C005E4" w:rsidRPr="00C005E4" w:rsidRDefault="00C005E4" w:rsidP="00C1090C">
            <w:pPr>
              <w:pStyle w:val="TAH"/>
              <w:rPr>
                <w:sz w:val="14"/>
                <w:szCs w:val="16"/>
              </w:rPr>
            </w:pPr>
            <w:r w:rsidRPr="00C005E4">
              <w:rPr>
                <w:sz w:val="14"/>
                <w:szCs w:val="16"/>
              </w:rPr>
              <w:t>[Need for the UE to know if the feature is supported (only for V2X WI, where the PC5-RRC capability signalling is delivered between the UEs)]</w:t>
            </w:r>
          </w:p>
        </w:tc>
      </w:tr>
      <w:tr w:rsidR="00C005E4" w:rsidRPr="00C005E4" w14:paraId="37CE599D" w14:textId="77777777" w:rsidTr="005A4CDD">
        <w:tc>
          <w:tcPr>
            <w:tcW w:w="1232" w:type="pct"/>
            <w:tcBorders>
              <w:top w:val="single" w:sz="4" w:space="0" w:color="auto"/>
              <w:left w:val="single" w:sz="4" w:space="0" w:color="auto"/>
              <w:bottom w:val="single" w:sz="4" w:space="0" w:color="auto"/>
              <w:right w:val="single" w:sz="4" w:space="0" w:color="auto"/>
            </w:tcBorders>
            <w:hideMark/>
          </w:tcPr>
          <w:p w14:paraId="65CC72FB" w14:textId="77777777" w:rsidR="00C005E4" w:rsidRPr="00412BA5" w:rsidRDefault="00C005E4" w:rsidP="00C1090C">
            <w:pPr>
              <w:pStyle w:val="TAL"/>
              <w:rPr>
                <w:sz w:val="14"/>
                <w:szCs w:val="14"/>
              </w:rPr>
            </w:pPr>
            <w:r w:rsidRPr="00412BA5">
              <w:rPr>
                <w:sz w:val="14"/>
                <w:szCs w:val="14"/>
              </w:rPr>
              <w:t>1. NB_IOTenh4_LTE_eMTC6</w:t>
            </w:r>
          </w:p>
        </w:tc>
        <w:tc>
          <w:tcPr>
            <w:tcW w:w="357" w:type="pct"/>
            <w:tcBorders>
              <w:top w:val="single" w:sz="4" w:space="0" w:color="auto"/>
              <w:left w:val="single" w:sz="4" w:space="0" w:color="auto"/>
              <w:bottom w:val="single" w:sz="4" w:space="0" w:color="auto"/>
              <w:right w:val="single" w:sz="4" w:space="0" w:color="auto"/>
            </w:tcBorders>
            <w:hideMark/>
          </w:tcPr>
          <w:p w14:paraId="6F64025D" w14:textId="77777777" w:rsidR="00C005E4" w:rsidRPr="00C005E4" w:rsidRDefault="00C005E4" w:rsidP="00C1090C">
            <w:pPr>
              <w:pStyle w:val="TAL"/>
              <w:rPr>
                <w:sz w:val="14"/>
                <w:szCs w:val="16"/>
                <w:lang w:eastAsia="ja-JP"/>
              </w:rPr>
            </w:pPr>
            <w:r w:rsidRPr="00C005E4">
              <w:rPr>
                <w:sz w:val="14"/>
                <w:szCs w:val="16"/>
                <w:lang w:eastAsia="ja-JP"/>
              </w:rPr>
              <w:t>1-3</w:t>
            </w:r>
          </w:p>
        </w:tc>
        <w:tc>
          <w:tcPr>
            <w:tcW w:w="607" w:type="pct"/>
            <w:tcBorders>
              <w:top w:val="single" w:sz="4" w:space="0" w:color="auto"/>
              <w:left w:val="single" w:sz="4" w:space="0" w:color="auto"/>
              <w:bottom w:val="single" w:sz="4" w:space="0" w:color="auto"/>
              <w:right w:val="single" w:sz="4" w:space="0" w:color="auto"/>
            </w:tcBorders>
            <w:hideMark/>
          </w:tcPr>
          <w:p w14:paraId="6ABB9B4D" w14:textId="77777777" w:rsidR="00C005E4" w:rsidRPr="00C005E4" w:rsidRDefault="00C005E4" w:rsidP="00C1090C">
            <w:pPr>
              <w:pStyle w:val="TAL"/>
              <w:rPr>
                <w:sz w:val="14"/>
                <w:szCs w:val="16"/>
              </w:rPr>
            </w:pPr>
            <w:r w:rsidRPr="00C005E4">
              <w:rPr>
                <w:sz w:val="14"/>
                <w:szCs w:val="16"/>
              </w:rPr>
              <w:t>14 HARQ processes for PDSCH for HD-FDD Cat. M1 UEs</w:t>
            </w:r>
          </w:p>
        </w:tc>
        <w:tc>
          <w:tcPr>
            <w:tcW w:w="865" w:type="pct"/>
            <w:tcBorders>
              <w:top w:val="single" w:sz="4" w:space="0" w:color="auto"/>
              <w:left w:val="single" w:sz="4" w:space="0" w:color="auto"/>
              <w:bottom w:val="single" w:sz="4" w:space="0" w:color="auto"/>
              <w:right w:val="single" w:sz="4" w:space="0" w:color="auto"/>
            </w:tcBorders>
            <w:hideMark/>
          </w:tcPr>
          <w:p w14:paraId="3A41BA01" w14:textId="77777777" w:rsidR="00C005E4" w:rsidRPr="00C005E4" w:rsidRDefault="00C005E4" w:rsidP="00C1090C">
            <w:pPr>
              <w:pStyle w:val="TAL"/>
              <w:rPr>
                <w:sz w:val="14"/>
                <w:szCs w:val="16"/>
              </w:rPr>
            </w:pPr>
            <w:r w:rsidRPr="00C005E4">
              <w:rPr>
                <w:rFonts w:eastAsia="MS Mincho"/>
                <w:sz w:val="14"/>
                <w:szCs w:val="16"/>
                <w:lang w:eastAsia="ja-JP"/>
              </w:rPr>
              <w:t>1. Support of 14 DL HARQ processes for unicast in HD-FDD in CE mode A in RRC_CONNECTED</w:t>
            </w:r>
          </w:p>
          <w:p w14:paraId="06899AD3" w14:textId="77777777" w:rsidR="00C005E4" w:rsidRPr="00C005E4" w:rsidRDefault="00C005E4" w:rsidP="00C1090C">
            <w:pPr>
              <w:pStyle w:val="TAL"/>
              <w:rPr>
                <w:sz w:val="14"/>
                <w:szCs w:val="16"/>
              </w:rPr>
            </w:pPr>
            <w:r w:rsidRPr="00C005E4">
              <w:rPr>
                <w:sz w:val="14"/>
                <w:szCs w:val="16"/>
              </w:rPr>
              <w:t>2. PDSCH scheduling delay</w:t>
            </w:r>
          </w:p>
          <w:p w14:paraId="680537B0" w14:textId="77777777" w:rsidR="00C005E4" w:rsidRPr="00C005E4" w:rsidRDefault="00C005E4" w:rsidP="00C1090C">
            <w:pPr>
              <w:pStyle w:val="TAL"/>
              <w:rPr>
                <w:sz w:val="14"/>
                <w:szCs w:val="16"/>
              </w:rPr>
            </w:pPr>
            <w:r w:rsidRPr="00317B88">
              <w:rPr>
                <w:sz w:val="14"/>
                <w:szCs w:val="16"/>
              </w:rPr>
              <w:t>3. HARQ-ACK delay solution with Alt-1 and Alt-2e</w:t>
            </w: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2B364D21" w14:textId="77777777" w:rsidR="00C005E4" w:rsidRPr="00C005E4" w:rsidRDefault="00C005E4" w:rsidP="00C1090C">
            <w:pPr>
              <w:pStyle w:val="TAL"/>
              <w:rPr>
                <w:sz w:val="14"/>
                <w:szCs w:val="16"/>
              </w:rPr>
            </w:pPr>
            <w:r w:rsidRPr="00C005E4">
              <w:rPr>
                <w:sz w:val="14"/>
                <w:szCs w:val="16"/>
              </w:rPr>
              <w:t>1. Category M1</w:t>
            </w:r>
          </w:p>
          <w:p w14:paraId="7D61E5D3" w14:textId="2C5816A9" w:rsidR="00C005E4" w:rsidRPr="00C005E4" w:rsidRDefault="00C005E4" w:rsidP="00317B88">
            <w:pPr>
              <w:pStyle w:val="TAL"/>
              <w:rPr>
                <w:sz w:val="14"/>
                <w:szCs w:val="16"/>
              </w:rPr>
            </w:pPr>
            <w:r w:rsidRPr="00C005E4">
              <w:rPr>
                <w:sz w:val="14"/>
                <w:szCs w:val="16"/>
              </w:rPr>
              <w:t>2. HD-FDD</w:t>
            </w:r>
          </w:p>
        </w:tc>
        <w:tc>
          <w:tcPr>
            <w:tcW w:w="584" w:type="pct"/>
            <w:tcBorders>
              <w:top w:val="single" w:sz="4" w:space="0" w:color="auto"/>
              <w:left w:val="single" w:sz="4" w:space="0" w:color="auto"/>
              <w:bottom w:val="single" w:sz="4" w:space="0" w:color="auto"/>
              <w:right w:val="single" w:sz="4" w:space="0" w:color="auto"/>
            </w:tcBorders>
            <w:hideMark/>
          </w:tcPr>
          <w:p w14:paraId="2FBAD1E1" w14:textId="77777777" w:rsidR="00C005E4" w:rsidRPr="00C005E4" w:rsidRDefault="00C005E4" w:rsidP="00C1090C">
            <w:pPr>
              <w:pStyle w:val="TAL"/>
              <w:rPr>
                <w:rFonts w:eastAsia="MS Mincho"/>
                <w:sz w:val="14"/>
                <w:szCs w:val="16"/>
                <w:lang w:eastAsia="ja-JP"/>
              </w:rPr>
            </w:pPr>
            <w:r w:rsidRPr="00C005E4">
              <w:rPr>
                <w:rFonts w:eastAsia="MS Mincho"/>
                <w:sz w:val="14"/>
                <w:szCs w:val="16"/>
                <w:lang w:eastAsia="ja-JP"/>
              </w:rPr>
              <w:t>Yes</w:t>
            </w:r>
          </w:p>
        </w:tc>
        <w:tc>
          <w:tcPr>
            <w:tcW w:w="597" w:type="pct"/>
            <w:tcBorders>
              <w:top w:val="single" w:sz="4" w:space="0" w:color="auto"/>
              <w:left w:val="single" w:sz="4" w:space="0" w:color="auto"/>
              <w:bottom w:val="single" w:sz="4" w:space="0" w:color="auto"/>
              <w:right w:val="single" w:sz="4" w:space="0" w:color="auto"/>
            </w:tcBorders>
            <w:hideMark/>
          </w:tcPr>
          <w:p w14:paraId="2D1272E4" w14:textId="77777777" w:rsidR="00C005E4" w:rsidRPr="00C005E4" w:rsidRDefault="00C005E4" w:rsidP="00C1090C">
            <w:pPr>
              <w:pStyle w:val="TAL"/>
              <w:rPr>
                <w:rFonts w:eastAsia="MS Mincho"/>
                <w:sz w:val="14"/>
                <w:szCs w:val="16"/>
                <w:lang w:eastAsia="ja-JP"/>
              </w:rPr>
            </w:pPr>
            <w:r w:rsidRPr="00C005E4">
              <w:rPr>
                <w:rFonts w:eastAsia="MS Mincho"/>
                <w:sz w:val="14"/>
                <w:szCs w:val="16"/>
                <w:lang w:eastAsia="ja-JP"/>
              </w:rPr>
              <w:t>N/A</w:t>
            </w:r>
          </w:p>
        </w:tc>
      </w:tr>
    </w:tbl>
    <w:p w14:paraId="0D509BDF" w14:textId="77777777" w:rsidR="00C519F5" w:rsidRDefault="00C519F5" w:rsidP="00C005E4">
      <w:pPr>
        <w:pStyle w:val="BodyText"/>
      </w:pPr>
    </w:p>
    <w:p w14:paraId="1FBC5AF1" w14:textId="00425F59" w:rsidR="00C005E4" w:rsidRPr="00830DBD" w:rsidRDefault="00C005E4" w:rsidP="00C005E4">
      <w:pPr>
        <w:pStyle w:val="BodyText"/>
        <w:rPr>
          <w:rFonts w:ascii="Times New Roman" w:hAnsi="Times New Roman"/>
        </w:rPr>
      </w:pPr>
      <w:r w:rsidRPr="00830DBD">
        <w:rPr>
          <w:rFonts w:ascii="Times New Roman" w:hAnsi="Times New Roman"/>
        </w:rPr>
        <w:t>Table 3 continues: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024"/>
        <w:gridCol w:w="1150"/>
        <w:gridCol w:w="1119"/>
        <w:gridCol w:w="3671"/>
        <w:gridCol w:w="1531"/>
      </w:tblGrid>
      <w:tr w:rsidR="00C519F5" w:rsidRPr="00C519F5" w14:paraId="36D64883" w14:textId="77777777" w:rsidTr="00C320BC">
        <w:tc>
          <w:tcPr>
            <w:tcW w:w="589" w:type="pct"/>
            <w:tcBorders>
              <w:top w:val="single" w:sz="4" w:space="0" w:color="auto"/>
              <w:left w:val="single" w:sz="4" w:space="0" w:color="auto"/>
              <w:bottom w:val="single" w:sz="4" w:space="0" w:color="auto"/>
              <w:right w:val="single" w:sz="4" w:space="0" w:color="auto"/>
            </w:tcBorders>
            <w:hideMark/>
          </w:tcPr>
          <w:p w14:paraId="39148CC3" w14:textId="77777777" w:rsidR="00C519F5" w:rsidRPr="00C519F5" w:rsidRDefault="00C519F5" w:rsidP="00C1090C">
            <w:pPr>
              <w:pStyle w:val="TAN"/>
              <w:ind w:left="0" w:firstLine="0"/>
              <w:rPr>
                <w:b/>
                <w:sz w:val="14"/>
                <w:szCs w:val="16"/>
                <w:lang w:eastAsia="ja-JP"/>
              </w:rPr>
            </w:pPr>
            <w:r w:rsidRPr="00C519F5">
              <w:rPr>
                <w:b/>
                <w:sz w:val="14"/>
                <w:szCs w:val="16"/>
                <w:lang w:eastAsia="ja-JP"/>
              </w:rPr>
              <w:t>Consequence if the feature is not supported by the UE</w:t>
            </w:r>
          </w:p>
        </w:tc>
        <w:tc>
          <w:tcPr>
            <w:tcW w:w="532" w:type="pct"/>
            <w:tcBorders>
              <w:top w:val="single" w:sz="4" w:space="0" w:color="auto"/>
              <w:left w:val="single" w:sz="4" w:space="0" w:color="auto"/>
              <w:bottom w:val="single" w:sz="4" w:space="0" w:color="auto"/>
              <w:right w:val="single" w:sz="4" w:space="0" w:color="auto"/>
            </w:tcBorders>
            <w:hideMark/>
          </w:tcPr>
          <w:p w14:paraId="6468D7F9" w14:textId="77777777" w:rsidR="00C519F5" w:rsidRPr="00C519F5" w:rsidRDefault="00C519F5" w:rsidP="00C1090C">
            <w:pPr>
              <w:pStyle w:val="TAN"/>
              <w:ind w:left="0" w:firstLine="0"/>
              <w:rPr>
                <w:b/>
                <w:sz w:val="14"/>
                <w:szCs w:val="16"/>
                <w:lang w:eastAsia="ja-JP"/>
              </w:rPr>
            </w:pPr>
            <w:r w:rsidRPr="00C519F5">
              <w:rPr>
                <w:b/>
                <w:sz w:val="14"/>
                <w:szCs w:val="16"/>
                <w:lang w:eastAsia="ja-JP"/>
              </w:rPr>
              <w:t>Type</w:t>
            </w:r>
          </w:p>
          <w:p w14:paraId="25326212" w14:textId="77777777" w:rsidR="00C519F5" w:rsidRPr="00C519F5" w:rsidRDefault="00C519F5" w:rsidP="00C1090C">
            <w:pPr>
              <w:pStyle w:val="TAL"/>
              <w:rPr>
                <w:sz w:val="14"/>
                <w:szCs w:val="16"/>
                <w:lang w:eastAsia="ja-JP"/>
              </w:rPr>
            </w:pPr>
            <w:r w:rsidRPr="00C519F5">
              <w:rPr>
                <w:b/>
                <w:sz w:val="14"/>
                <w:szCs w:val="16"/>
                <w:lang w:eastAsia="ja-JP"/>
              </w:rPr>
              <w:t>(the ‘type’ definition from UE features should be based on the granularity of 1) Per UE or 2) Per Band or 3) Per BC or 4) Per FS or 5) Per FSPC)</w:t>
            </w:r>
          </w:p>
        </w:tc>
        <w:tc>
          <w:tcPr>
            <w:tcW w:w="597" w:type="pct"/>
            <w:tcBorders>
              <w:top w:val="single" w:sz="4" w:space="0" w:color="auto"/>
              <w:left w:val="single" w:sz="4" w:space="0" w:color="auto"/>
              <w:bottom w:val="single" w:sz="4" w:space="0" w:color="auto"/>
              <w:right w:val="single" w:sz="4" w:space="0" w:color="auto"/>
            </w:tcBorders>
            <w:hideMark/>
          </w:tcPr>
          <w:p w14:paraId="18E9149F" w14:textId="77777777" w:rsidR="00C519F5" w:rsidRPr="00C519F5" w:rsidRDefault="00C519F5" w:rsidP="00C1090C">
            <w:pPr>
              <w:pStyle w:val="TAH"/>
              <w:rPr>
                <w:sz w:val="14"/>
                <w:szCs w:val="16"/>
              </w:rPr>
            </w:pPr>
            <w:r w:rsidRPr="00C519F5">
              <w:rPr>
                <w:sz w:val="14"/>
                <w:szCs w:val="16"/>
              </w:rPr>
              <w:t>Need of FDD/TDD differentiation</w:t>
            </w:r>
          </w:p>
        </w:tc>
        <w:tc>
          <w:tcPr>
            <w:tcW w:w="581" w:type="pct"/>
            <w:tcBorders>
              <w:top w:val="single" w:sz="4" w:space="0" w:color="auto"/>
              <w:left w:val="single" w:sz="4" w:space="0" w:color="auto"/>
              <w:bottom w:val="single" w:sz="4" w:space="0" w:color="auto"/>
              <w:right w:val="single" w:sz="4" w:space="0" w:color="auto"/>
            </w:tcBorders>
            <w:hideMark/>
          </w:tcPr>
          <w:p w14:paraId="40C8E790" w14:textId="77777777" w:rsidR="00C519F5" w:rsidRPr="00C519F5" w:rsidRDefault="00C519F5" w:rsidP="00C1090C">
            <w:pPr>
              <w:pStyle w:val="TAH"/>
              <w:rPr>
                <w:sz w:val="14"/>
                <w:szCs w:val="16"/>
              </w:rPr>
            </w:pPr>
            <w:r w:rsidRPr="00C519F5">
              <w:rPr>
                <w:sz w:val="14"/>
                <w:szCs w:val="16"/>
              </w:rPr>
              <w:t>Capability interpretation for mixture of FDD/TDD</w:t>
            </w:r>
          </w:p>
        </w:tc>
        <w:tc>
          <w:tcPr>
            <w:tcW w:w="1906" w:type="pct"/>
            <w:tcBorders>
              <w:top w:val="single" w:sz="4" w:space="0" w:color="auto"/>
              <w:left w:val="single" w:sz="4" w:space="0" w:color="auto"/>
              <w:bottom w:val="single" w:sz="4" w:space="0" w:color="auto"/>
              <w:right w:val="single" w:sz="4" w:space="0" w:color="auto"/>
            </w:tcBorders>
            <w:hideMark/>
          </w:tcPr>
          <w:p w14:paraId="766843F2" w14:textId="77777777" w:rsidR="00C519F5" w:rsidRPr="00C519F5" w:rsidRDefault="00C519F5" w:rsidP="00C1090C">
            <w:pPr>
              <w:pStyle w:val="TAH"/>
              <w:rPr>
                <w:sz w:val="14"/>
                <w:szCs w:val="16"/>
              </w:rPr>
            </w:pPr>
            <w:r w:rsidRPr="00C519F5">
              <w:rPr>
                <w:sz w:val="14"/>
                <w:szCs w:val="16"/>
              </w:rPr>
              <w:t>Note</w:t>
            </w:r>
          </w:p>
        </w:tc>
        <w:tc>
          <w:tcPr>
            <w:tcW w:w="795" w:type="pct"/>
            <w:tcBorders>
              <w:top w:val="single" w:sz="4" w:space="0" w:color="auto"/>
              <w:left w:val="single" w:sz="4" w:space="0" w:color="auto"/>
              <w:bottom w:val="single" w:sz="4" w:space="0" w:color="auto"/>
              <w:right w:val="single" w:sz="4" w:space="0" w:color="auto"/>
            </w:tcBorders>
            <w:hideMark/>
          </w:tcPr>
          <w:p w14:paraId="19038371" w14:textId="77777777" w:rsidR="00C519F5" w:rsidRPr="00C519F5" w:rsidRDefault="00C519F5" w:rsidP="00C1090C">
            <w:pPr>
              <w:pStyle w:val="TAH"/>
              <w:rPr>
                <w:sz w:val="14"/>
                <w:szCs w:val="16"/>
              </w:rPr>
            </w:pPr>
            <w:r w:rsidRPr="00C519F5">
              <w:rPr>
                <w:sz w:val="14"/>
                <w:szCs w:val="16"/>
              </w:rPr>
              <w:t>Mandatory/Optional</w:t>
            </w:r>
          </w:p>
        </w:tc>
      </w:tr>
      <w:tr w:rsidR="00C519F5" w:rsidRPr="00C519F5" w14:paraId="3A7DA987" w14:textId="77777777" w:rsidTr="00C320BC">
        <w:tc>
          <w:tcPr>
            <w:tcW w:w="589" w:type="pct"/>
            <w:tcBorders>
              <w:top w:val="single" w:sz="4" w:space="0" w:color="auto"/>
              <w:left w:val="single" w:sz="4" w:space="0" w:color="auto"/>
              <w:bottom w:val="single" w:sz="4" w:space="0" w:color="auto"/>
              <w:right w:val="single" w:sz="4" w:space="0" w:color="auto"/>
            </w:tcBorders>
            <w:hideMark/>
          </w:tcPr>
          <w:p w14:paraId="03EFD55E" w14:textId="77777777" w:rsidR="00C519F5" w:rsidRPr="00C519F5" w:rsidRDefault="00C519F5" w:rsidP="00C1090C">
            <w:pPr>
              <w:pStyle w:val="TAL"/>
              <w:rPr>
                <w:rFonts w:eastAsia="MS Mincho"/>
                <w:sz w:val="14"/>
                <w:szCs w:val="16"/>
                <w:lang w:eastAsia="ja-JP"/>
              </w:rPr>
            </w:pPr>
            <w:r w:rsidRPr="00C519F5">
              <w:rPr>
                <w:rFonts w:eastAsia="MS Mincho"/>
                <w:sz w:val="14"/>
                <w:szCs w:val="16"/>
                <w:lang w:eastAsia="ja-JP"/>
              </w:rPr>
              <w:t>The network cannot enable 14 HARQ processes for the UE</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22D92F46" w14:textId="77777777" w:rsidR="00C519F5" w:rsidRPr="00C519F5" w:rsidRDefault="00C519F5" w:rsidP="00C1090C">
            <w:pPr>
              <w:pStyle w:val="TAL"/>
              <w:rPr>
                <w:sz w:val="14"/>
                <w:szCs w:val="16"/>
                <w:lang w:eastAsia="ja-JP"/>
              </w:rPr>
            </w:pPr>
            <w:r w:rsidRPr="00C519F5">
              <w:rPr>
                <w:sz w:val="14"/>
                <w:szCs w:val="16"/>
                <w:lang w:eastAsia="ja-JP"/>
              </w:rPr>
              <w:t>Per UE</w:t>
            </w:r>
          </w:p>
        </w:tc>
        <w:tc>
          <w:tcPr>
            <w:tcW w:w="597" w:type="pct"/>
            <w:tcBorders>
              <w:top w:val="single" w:sz="4" w:space="0" w:color="auto"/>
              <w:left w:val="single" w:sz="4" w:space="0" w:color="auto"/>
              <w:bottom w:val="single" w:sz="4" w:space="0" w:color="auto"/>
              <w:right w:val="single" w:sz="4" w:space="0" w:color="auto"/>
            </w:tcBorders>
            <w:hideMark/>
          </w:tcPr>
          <w:p w14:paraId="00F745C8" w14:textId="77777777" w:rsidR="00C519F5" w:rsidRPr="00C519F5" w:rsidRDefault="00C519F5" w:rsidP="00C1090C">
            <w:pPr>
              <w:pStyle w:val="TAL"/>
              <w:rPr>
                <w:rFonts w:eastAsia="MS Mincho"/>
                <w:sz w:val="14"/>
                <w:szCs w:val="16"/>
                <w:lang w:eastAsia="ja-JP"/>
              </w:rPr>
            </w:pPr>
            <w:r w:rsidRPr="00C519F5">
              <w:rPr>
                <w:rFonts w:eastAsia="MS Mincho"/>
                <w:sz w:val="14"/>
                <w:szCs w:val="16"/>
                <w:lang w:eastAsia="ja-JP"/>
              </w:rPr>
              <w:t>FDD only</w:t>
            </w:r>
          </w:p>
        </w:tc>
        <w:tc>
          <w:tcPr>
            <w:tcW w:w="581" w:type="pct"/>
            <w:tcBorders>
              <w:top w:val="single" w:sz="4" w:space="0" w:color="auto"/>
              <w:left w:val="single" w:sz="4" w:space="0" w:color="auto"/>
              <w:bottom w:val="single" w:sz="4" w:space="0" w:color="auto"/>
              <w:right w:val="single" w:sz="4" w:space="0" w:color="auto"/>
            </w:tcBorders>
            <w:hideMark/>
          </w:tcPr>
          <w:p w14:paraId="293CC9B9" w14:textId="77777777" w:rsidR="00C519F5" w:rsidRPr="00C519F5" w:rsidRDefault="00C519F5" w:rsidP="00C1090C">
            <w:pPr>
              <w:pStyle w:val="TAL"/>
              <w:rPr>
                <w:rFonts w:eastAsia="MS Mincho"/>
                <w:sz w:val="14"/>
                <w:szCs w:val="16"/>
                <w:lang w:eastAsia="ja-JP"/>
              </w:rPr>
            </w:pPr>
            <w:r w:rsidRPr="00C519F5">
              <w:rPr>
                <w:rFonts w:eastAsia="MS Mincho"/>
                <w:sz w:val="14"/>
                <w:szCs w:val="16"/>
                <w:lang w:eastAsia="ja-JP"/>
              </w:rPr>
              <w:t>N/A</w:t>
            </w:r>
          </w:p>
        </w:tc>
        <w:tc>
          <w:tcPr>
            <w:tcW w:w="1906" w:type="pct"/>
            <w:tcBorders>
              <w:top w:val="single" w:sz="4" w:space="0" w:color="auto"/>
              <w:left w:val="single" w:sz="4" w:space="0" w:color="auto"/>
              <w:bottom w:val="single" w:sz="4" w:space="0" w:color="auto"/>
              <w:right w:val="single" w:sz="4" w:space="0" w:color="auto"/>
            </w:tcBorders>
            <w:shd w:val="clear" w:color="auto" w:fill="auto"/>
            <w:hideMark/>
          </w:tcPr>
          <w:p w14:paraId="1C137D4D" w14:textId="77777777" w:rsidR="00C519F5" w:rsidRPr="00C519F5" w:rsidRDefault="00C519F5" w:rsidP="00C519F5">
            <w:pPr>
              <w:pStyle w:val="TAL"/>
              <w:keepLines w:val="0"/>
              <w:numPr>
                <w:ilvl w:val="0"/>
                <w:numId w:val="20"/>
              </w:numPr>
              <w:overflowPunct/>
              <w:autoSpaceDE/>
              <w:autoSpaceDN/>
              <w:adjustRightInd/>
              <w:textAlignment w:val="auto"/>
              <w:rPr>
                <w:rFonts w:eastAsia="Times New Roman"/>
                <w:sz w:val="14"/>
                <w:szCs w:val="16"/>
                <w:lang w:val="en-US"/>
              </w:rPr>
            </w:pPr>
            <w:r w:rsidRPr="00C519F5">
              <w:rPr>
                <w:sz w:val="14"/>
                <w:szCs w:val="16"/>
              </w:rPr>
              <w:t>PDSCH scheduling delay:</w:t>
            </w:r>
          </w:p>
          <w:p w14:paraId="32BAAFB4" w14:textId="77777777" w:rsidR="00C519F5" w:rsidRPr="00C519F5" w:rsidRDefault="00C519F5" w:rsidP="00C519F5">
            <w:pPr>
              <w:pStyle w:val="TAL"/>
              <w:keepLines w:val="0"/>
              <w:numPr>
                <w:ilvl w:val="1"/>
                <w:numId w:val="20"/>
              </w:numPr>
              <w:overflowPunct/>
              <w:autoSpaceDE/>
              <w:autoSpaceDN/>
              <w:adjustRightInd/>
              <w:textAlignment w:val="auto"/>
              <w:rPr>
                <w:sz w:val="14"/>
                <w:szCs w:val="16"/>
              </w:rPr>
            </w:pPr>
            <w:r w:rsidRPr="00C519F5">
              <w:rPr>
                <w:sz w:val="14"/>
                <w:szCs w:val="16"/>
              </w:rPr>
              <w:t>2 BL/CE DL subframes.</w:t>
            </w:r>
          </w:p>
          <w:p w14:paraId="3EF35B7A" w14:textId="77777777" w:rsidR="00C519F5" w:rsidRPr="00C519F5" w:rsidRDefault="00C519F5" w:rsidP="00C519F5">
            <w:pPr>
              <w:pStyle w:val="TAL"/>
              <w:keepLines w:val="0"/>
              <w:numPr>
                <w:ilvl w:val="1"/>
                <w:numId w:val="20"/>
              </w:numPr>
              <w:overflowPunct/>
              <w:autoSpaceDE/>
              <w:autoSpaceDN/>
              <w:adjustRightInd/>
              <w:textAlignment w:val="auto"/>
              <w:rPr>
                <w:sz w:val="14"/>
                <w:szCs w:val="16"/>
              </w:rPr>
            </w:pPr>
            <w:r w:rsidRPr="00C519F5">
              <w:rPr>
                <w:sz w:val="14"/>
                <w:szCs w:val="16"/>
              </w:rPr>
              <w:t>1 BL/CE DL subframe + 1 subframe + 3 BL/CE UL subframes + 1 subframe + 1 BL/CE DL subframe.</w:t>
            </w:r>
          </w:p>
          <w:p w14:paraId="190939AB" w14:textId="77777777" w:rsidR="00C519F5" w:rsidRPr="00C519F5" w:rsidRDefault="00C519F5" w:rsidP="00C519F5">
            <w:pPr>
              <w:pStyle w:val="TAL"/>
              <w:keepLines w:val="0"/>
              <w:numPr>
                <w:ilvl w:val="1"/>
                <w:numId w:val="20"/>
              </w:numPr>
              <w:overflowPunct/>
              <w:autoSpaceDE/>
              <w:autoSpaceDN/>
              <w:adjustRightInd/>
              <w:textAlignment w:val="auto"/>
              <w:rPr>
                <w:sz w:val="14"/>
                <w:szCs w:val="16"/>
              </w:rPr>
            </w:pPr>
            <w:r w:rsidRPr="00C519F5">
              <w:rPr>
                <w:sz w:val="14"/>
                <w:szCs w:val="16"/>
              </w:rPr>
              <w:t>1 subframe + 3 BL/CE UL subframes + 1 subframe + 2 BL/CE DL subframes.</w:t>
            </w:r>
          </w:p>
          <w:p w14:paraId="11F604EE" w14:textId="77777777" w:rsidR="00C519F5" w:rsidRPr="00C519F5" w:rsidRDefault="00C519F5" w:rsidP="00C519F5">
            <w:pPr>
              <w:pStyle w:val="TAL"/>
              <w:keepLines w:val="0"/>
              <w:numPr>
                <w:ilvl w:val="0"/>
                <w:numId w:val="20"/>
              </w:numPr>
              <w:overflowPunct/>
              <w:autoSpaceDE/>
              <w:autoSpaceDN/>
              <w:adjustRightInd/>
              <w:textAlignment w:val="auto"/>
              <w:rPr>
                <w:sz w:val="14"/>
                <w:szCs w:val="16"/>
              </w:rPr>
            </w:pPr>
            <w:r w:rsidRPr="00C519F5">
              <w:rPr>
                <w:sz w:val="14"/>
                <w:szCs w:val="16"/>
              </w:rPr>
              <w:t>HARQ-ACK delay:</w:t>
            </w:r>
          </w:p>
          <w:p w14:paraId="2627CD98" w14:textId="77777777" w:rsidR="00C519F5" w:rsidRPr="00C519F5" w:rsidRDefault="00C519F5" w:rsidP="00C519F5">
            <w:pPr>
              <w:pStyle w:val="TAL"/>
              <w:keepLines w:val="0"/>
              <w:numPr>
                <w:ilvl w:val="1"/>
                <w:numId w:val="20"/>
              </w:numPr>
              <w:overflowPunct/>
              <w:autoSpaceDE/>
              <w:autoSpaceDN/>
              <w:adjustRightInd/>
              <w:textAlignment w:val="auto"/>
              <w:rPr>
                <w:sz w:val="14"/>
                <w:szCs w:val="16"/>
              </w:rPr>
            </w:pPr>
            <w:r w:rsidRPr="00C519F5">
              <w:rPr>
                <w:sz w:val="14"/>
                <w:szCs w:val="16"/>
              </w:rPr>
              <w:t>Alt-1: The HARQ-ACK delay is determined through an expression consisting of different subframe types (Using a similar principle as the PDSCH scheduling delay).</w:t>
            </w:r>
          </w:p>
          <w:p w14:paraId="2318DE13" w14:textId="77777777" w:rsidR="00C519F5" w:rsidRDefault="00C519F5" w:rsidP="00C519F5">
            <w:pPr>
              <w:pStyle w:val="TAL"/>
              <w:keepLines w:val="0"/>
              <w:numPr>
                <w:ilvl w:val="1"/>
                <w:numId w:val="20"/>
              </w:numPr>
              <w:overflowPunct/>
              <w:autoSpaceDE/>
              <w:autoSpaceDN/>
              <w:adjustRightInd/>
              <w:textAlignment w:val="auto"/>
              <w:rPr>
                <w:sz w:val="14"/>
                <w:szCs w:val="16"/>
              </w:rPr>
            </w:pPr>
            <w:r w:rsidRPr="00C519F5">
              <w:rPr>
                <w:sz w:val="14"/>
                <w:szCs w:val="16"/>
              </w:rPr>
              <w:t>Alt-2e: The HARQ-ACK delay is determined following the legacy approach. That is, the “HARQ-ACK delay” is kept expressed in terms of “absolute subframes”.</w:t>
            </w:r>
          </w:p>
          <w:p w14:paraId="6006FD5C" w14:textId="0C0C3262" w:rsidR="00C320BC" w:rsidRPr="00C320BC" w:rsidRDefault="00C320BC" w:rsidP="00C320BC">
            <w:pPr>
              <w:pStyle w:val="TAL"/>
              <w:keepLines w:val="0"/>
              <w:overflowPunct/>
              <w:autoSpaceDE/>
              <w:autoSpaceDN/>
              <w:adjustRightInd/>
              <w:textAlignment w:val="auto"/>
              <w:rPr>
                <w:sz w:val="14"/>
                <w:szCs w:val="14"/>
              </w:rPr>
            </w:pPr>
            <w:r w:rsidRPr="00C320BC">
              <w:rPr>
                <w:sz w:val="14"/>
                <w:szCs w:val="14"/>
              </w:rPr>
              <w:t>For component 3, UE reports one of {Alt-1, Alt-1 and Alt-2e}</w:t>
            </w:r>
          </w:p>
        </w:tc>
        <w:tc>
          <w:tcPr>
            <w:tcW w:w="795" w:type="pct"/>
            <w:tcBorders>
              <w:top w:val="single" w:sz="4" w:space="0" w:color="auto"/>
              <w:left w:val="single" w:sz="4" w:space="0" w:color="auto"/>
              <w:bottom w:val="single" w:sz="4" w:space="0" w:color="auto"/>
              <w:right w:val="single" w:sz="4" w:space="0" w:color="auto"/>
            </w:tcBorders>
            <w:hideMark/>
          </w:tcPr>
          <w:p w14:paraId="073294A8" w14:textId="77777777" w:rsidR="00C519F5" w:rsidRPr="00C519F5" w:rsidRDefault="00C519F5" w:rsidP="00C1090C">
            <w:pPr>
              <w:pStyle w:val="TAL"/>
              <w:rPr>
                <w:sz w:val="14"/>
                <w:szCs w:val="16"/>
                <w:lang w:eastAsia="ja-JP"/>
              </w:rPr>
            </w:pPr>
            <w:r w:rsidRPr="00C519F5">
              <w:rPr>
                <w:rFonts w:eastAsia="MS Mincho"/>
                <w:sz w:val="14"/>
                <w:szCs w:val="16"/>
                <w:lang w:eastAsia="ja-JP"/>
              </w:rPr>
              <w:t>Optional with capability signaling</w:t>
            </w:r>
          </w:p>
        </w:tc>
      </w:tr>
    </w:tbl>
    <w:p w14:paraId="59EA92BB" w14:textId="35CCD921" w:rsidR="00B133CC" w:rsidRDefault="00B133CC" w:rsidP="00B133CC">
      <w:pPr>
        <w:pStyle w:val="BodyText"/>
      </w:pPr>
    </w:p>
    <w:p w14:paraId="0EB2AA1F" w14:textId="01AE39B8" w:rsidR="007A07C8" w:rsidRDefault="007A07C8" w:rsidP="00B133CC">
      <w:pPr>
        <w:pStyle w:val="BodyText"/>
        <w:rPr>
          <w:rFonts w:ascii="Times New Roman" w:hAnsi="Times New Roman"/>
        </w:rPr>
      </w:pPr>
      <w:r w:rsidRPr="00830DBD">
        <w:rPr>
          <w:rFonts w:ascii="Times New Roman" w:hAnsi="Times New Roman"/>
        </w:rPr>
        <w:t xml:space="preserve">For the above UE feature </w:t>
      </w:r>
      <w:r>
        <w:rPr>
          <w:rFonts w:ascii="Times New Roman" w:hAnsi="Times New Roman"/>
        </w:rPr>
        <w:t xml:space="preserve">list </w:t>
      </w:r>
      <w:r w:rsidRPr="00830DBD">
        <w:rPr>
          <w:rFonts w:ascii="Times New Roman" w:hAnsi="Times New Roman"/>
        </w:rPr>
        <w:t xml:space="preserve">on the support of </w:t>
      </w:r>
      <w:r>
        <w:rPr>
          <w:rFonts w:ascii="Times New Roman" w:hAnsi="Times New Roman"/>
        </w:rPr>
        <w:t>14 HARQ processes in DL</w:t>
      </w:r>
      <w:r w:rsidRPr="00830DBD">
        <w:rPr>
          <w:rFonts w:ascii="Times New Roman" w:hAnsi="Times New Roman"/>
        </w:rPr>
        <w:t xml:space="preserve"> for HD-FDD UEs in CE Mode A, we have the following </w:t>
      </w:r>
      <w:r>
        <w:rPr>
          <w:rFonts w:ascii="Times New Roman" w:hAnsi="Times New Roman"/>
        </w:rPr>
        <w:t xml:space="preserve">observation and </w:t>
      </w:r>
      <w:r w:rsidRPr="00830DBD">
        <w:rPr>
          <w:rFonts w:ascii="Times New Roman" w:hAnsi="Times New Roman"/>
        </w:rPr>
        <w:t>proposal</w:t>
      </w:r>
      <w:r>
        <w:rPr>
          <w:rFonts w:ascii="Times New Roman" w:hAnsi="Times New Roman"/>
        </w:rPr>
        <w:t>s</w:t>
      </w:r>
      <w:r w:rsidRPr="00830DBD">
        <w:rPr>
          <w:rFonts w:ascii="Times New Roman" w:hAnsi="Times New Roman"/>
        </w:rPr>
        <w:t>:</w:t>
      </w:r>
    </w:p>
    <w:p w14:paraId="6E42F056" w14:textId="78D81C47" w:rsidR="00B8392B" w:rsidRDefault="00B8392B" w:rsidP="00B8392B">
      <w:pPr>
        <w:pStyle w:val="Observation"/>
        <w:ind w:left="1701" w:hanging="1701"/>
      </w:pPr>
      <w:bookmarkStart w:id="10" w:name="_Toc90045097"/>
      <w:r>
        <w:t xml:space="preserve">To define the “Type” of the Rel-17 features built under a L1 Terrestrial context, we can follow the Moderator’s suggestion of defining the </w:t>
      </w:r>
      <w:r w:rsidRPr="00A80DBC">
        <w:t xml:space="preserve">“Type of FGs 1-3 and 1-4 </w:t>
      </w:r>
      <w:r>
        <w:t>(i.e., LTE-MTC features)</w:t>
      </w:r>
      <w:r w:rsidRPr="00A80DBC">
        <w:t xml:space="preserve"> “per UE” and </w:t>
      </w:r>
      <w:r w:rsidR="00CD2F5A">
        <w:t>leaving</w:t>
      </w:r>
      <w:r>
        <w:t xml:space="preserve"> </w:t>
      </w:r>
      <w:r w:rsidRPr="00A80DBC">
        <w:t xml:space="preserve">the Type of FGs 1-1 and 1-2 </w:t>
      </w:r>
      <w:r>
        <w:t xml:space="preserve">(i.e., NB-IoT features) </w:t>
      </w:r>
      <w:r w:rsidRPr="00A80DBC">
        <w:t>up to RAN2/RAN4”.</w:t>
      </w:r>
      <w:bookmarkEnd w:id="10"/>
    </w:p>
    <w:p w14:paraId="13E90A75" w14:textId="258A12CA" w:rsidR="00B8392B" w:rsidRPr="00B8392B" w:rsidRDefault="00B8392B" w:rsidP="00B133CC">
      <w:pPr>
        <w:pStyle w:val="Proposal"/>
      </w:pPr>
      <w:bookmarkStart w:id="11" w:name="_Toc90045108"/>
      <w:r>
        <w:t>For 14 HARQ processes in DL for HD-FDD UEs (i.e., FG 1-3 in the “UE Feature list”), t</w:t>
      </w:r>
      <w:r w:rsidRPr="007A07C8">
        <w:t>he column “Type” is defined “Per UE”</w:t>
      </w:r>
      <w:r w:rsidR="00E71DD5">
        <w:t>.</w:t>
      </w:r>
      <w:bookmarkEnd w:id="11"/>
    </w:p>
    <w:p w14:paraId="62FCCA20" w14:textId="7A5623B0" w:rsidR="00B8392B" w:rsidRDefault="00B8392B" w:rsidP="00B133CC">
      <w:pPr>
        <w:pStyle w:val="BodyText"/>
        <w:rPr>
          <w:rFonts w:ascii="Times New Roman" w:hAnsi="Times New Roman"/>
        </w:rPr>
      </w:pPr>
      <w:r>
        <w:rPr>
          <w:rFonts w:ascii="Times New Roman" w:hAnsi="Times New Roman"/>
        </w:rPr>
        <w:t>On the other hand, during RAN1#107 the following conclusion remained stable for endorsement until a last-minute comment was received which made the Chairman to decide proceeding as follows: “</w:t>
      </w:r>
      <w:r w:rsidRPr="00B8392B">
        <w:rPr>
          <w:rFonts w:ascii="Times New Roman" w:hAnsi="Times New Roman"/>
          <w:i/>
          <w:iCs/>
        </w:rPr>
        <w:t>Seems that we need to comeback to proposal 3-3 in Q1</w:t>
      </w:r>
      <w:r>
        <w:rPr>
          <w:rFonts w:ascii="Times New Roman" w:hAnsi="Times New Roman"/>
        </w:rPr>
        <w:t>”.</w:t>
      </w:r>
    </w:p>
    <w:tbl>
      <w:tblPr>
        <w:tblStyle w:val="TableGrid"/>
        <w:tblW w:w="0" w:type="auto"/>
        <w:tblLook w:val="04A0" w:firstRow="1" w:lastRow="0" w:firstColumn="1" w:lastColumn="0" w:noHBand="0" w:noVBand="1"/>
      </w:tblPr>
      <w:tblGrid>
        <w:gridCol w:w="9629"/>
      </w:tblGrid>
      <w:tr w:rsidR="00B8392B" w14:paraId="10CC39E1" w14:textId="77777777" w:rsidTr="00B8392B">
        <w:tc>
          <w:tcPr>
            <w:tcW w:w="9629" w:type="dxa"/>
          </w:tcPr>
          <w:p w14:paraId="5B27DA36" w14:textId="77777777" w:rsidR="00B8392B" w:rsidRDefault="00B8392B" w:rsidP="00B8392B">
            <w:pPr>
              <w:rPr>
                <w:sz w:val="14"/>
                <w:szCs w:val="14"/>
                <w:lang w:val="en-US"/>
              </w:rPr>
            </w:pPr>
            <w:r>
              <w:rPr>
                <w:b/>
                <w:bCs/>
                <w:sz w:val="20"/>
                <w:szCs w:val="20"/>
                <w:lang w:val="en-US"/>
              </w:rPr>
              <w:t>Proposed conclusion 3-3:</w:t>
            </w:r>
          </w:p>
          <w:p w14:paraId="183DAAC0" w14:textId="0A4B0BC0" w:rsidR="00B8392B" w:rsidRPr="00B8392B" w:rsidRDefault="00B8392B" w:rsidP="00B133CC">
            <w:pPr>
              <w:numPr>
                <w:ilvl w:val="0"/>
                <w:numId w:val="23"/>
              </w:numPr>
              <w:overflowPunct/>
              <w:autoSpaceDE/>
              <w:autoSpaceDN/>
              <w:adjustRightInd/>
              <w:spacing w:after="0"/>
              <w:jc w:val="both"/>
              <w:textAlignment w:val="auto"/>
              <w:rPr>
                <w:rFonts w:ascii="Calibri" w:hAnsi="Calibri" w:cs="Gulim"/>
                <w:sz w:val="14"/>
                <w:szCs w:val="14"/>
                <w:lang w:val="en-US"/>
              </w:rPr>
            </w:pPr>
            <w:r>
              <w:rPr>
                <w:b/>
                <w:bCs/>
                <w:sz w:val="20"/>
                <w:szCs w:val="20"/>
                <w:lang w:val="en-US"/>
              </w:rPr>
              <w:lastRenderedPageBreak/>
              <w:t xml:space="preserve">It is RAN1 assumption the 14 HARQ processes feature is compatible with all other </w:t>
            </w:r>
            <w:proofErr w:type="spellStart"/>
            <w:r>
              <w:rPr>
                <w:b/>
                <w:bCs/>
                <w:sz w:val="20"/>
                <w:szCs w:val="20"/>
                <w:lang w:val="en-US"/>
              </w:rPr>
              <w:t>eMTC</w:t>
            </w:r>
            <w:proofErr w:type="spellEnd"/>
            <w:r>
              <w:rPr>
                <w:b/>
                <w:bCs/>
                <w:sz w:val="20"/>
                <w:szCs w:val="20"/>
                <w:lang w:val="en-US"/>
              </w:rPr>
              <w:t xml:space="preserve"> features in connected-mode applicable for HD-FDD Cat. M1 UEs in CE mode A, except for the simultaneous configuration with </w:t>
            </w:r>
            <w:r>
              <w:rPr>
                <w:b/>
                <w:bCs/>
                <w:sz w:val="20"/>
                <w:szCs w:val="20"/>
                <w:lang w:val="en-US" w:eastAsia="zh-CN"/>
              </w:rPr>
              <w:t xml:space="preserve">Rel-16 </w:t>
            </w:r>
            <w:proofErr w:type="gramStart"/>
            <w:r>
              <w:rPr>
                <w:b/>
                <w:bCs/>
                <w:sz w:val="20"/>
                <w:szCs w:val="20"/>
                <w:lang w:val="en-US"/>
              </w:rPr>
              <w:t>Multi-TB</w:t>
            </w:r>
            <w:proofErr w:type="gramEnd"/>
            <w:r>
              <w:rPr>
                <w:b/>
                <w:bCs/>
                <w:sz w:val="20"/>
                <w:szCs w:val="20"/>
                <w:lang w:val="en-US"/>
              </w:rPr>
              <w:t xml:space="preserve"> scheduling, to be captured in the note column in FG 1-3</w:t>
            </w:r>
          </w:p>
        </w:tc>
      </w:tr>
    </w:tbl>
    <w:p w14:paraId="5E91EF02" w14:textId="77777777" w:rsidR="00B8392B" w:rsidRDefault="00B8392B" w:rsidP="00B133CC">
      <w:pPr>
        <w:pStyle w:val="BodyText"/>
        <w:rPr>
          <w:rFonts w:ascii="Times New Roman" w:hAnsi="Times New Roman"/>
        </w:rPr>
      </w:pPr>
    </w:p>
    <w:p w14:paraId="26F8BBDF" w14:textId="3897440D" w:rsidR="00127D44" w:rsidRDefault="00127D44" w:rsidP="00127D44">
      <w:pPr>
        <w:pStyle w:val="BodyText"/>
        <w:rPr>
          <w:rFonts w:ascii="Times New Roman" w:hAnsi="Times New Roman"/>
        </w:rPr>
      </w:pPr>
      <w:r>
        <w:rPr>
          <w:rFonts w:ascii="Times New Roman" w:hAnsi="Times New Roman"/>
        </w:rPr>
        <w:t>T</w:t>
      </w:r>
      <w:r w:rsidRPr="00127D44">
        <w:rPr>
          <w:rFonts w:ascii="Times New Roman" w:hAnsi="Times New Roman"/>
        </w:rPr>
        <w:t>he</w:t>
      </w:r>
      <w:r>
        <w:rPr>
          <w:rFonts w:ascii="Times New Roman" w:hAnsi="Times New Roman"/>
        </w:rPr>
        <w:t xml:space="preserve"> last-minute comment</w:t>
      </w:r>
      <w:r w:rsidRPr="00127D44">
        <w:rPr>
          <w:rFonts w:ascii="Times New Roman" w:hAnsi="Times New Roman"/>
        </w:rPr>
        <w:t xml:space="preserve"> was</w:t>
      </w:r>
      <w:r>
        <w:rPr>
          <w:rFonts w:ascii="Times New Roman" w:hAnsi="Times New Roman"/>
        </w:rPr>
        <w:t xml:space="preserve"> related </w:t>
      </w:r>
      <w:r w:rsidRPr="00127D44">
        <w:rPr>
          <w:rFonts w:ascii="Times New Roman" w:hAnsi="Times New Roman"/>
        </w:rPr>
        <w:t xml:space="preserve">with having deleted the following </w:t>
      </w:r>
      <w:r w:rsidRPr="00127D44">
        <w:rPr>
          <w:rFonts w:ascii="Times New Roman" w:hAnsi="Times New Roman"/>
          <w:color w:val="FF0000"/>
        </w:rPr>
        <w:t>text in red</w:t>
      </w:r>
      <w:r w:rsidRPr="00127D44">
        <w:rPr>
          <w:rFonts w:ascii="Times New Roman" w:hAnsi="Times New Roman"/>
        </w:rPr>
        <w:t>: “except for the simultaneous configuration</w:t>
      </w:r>
      <w:r w:rsidR="00FC010A">
        <w:rPr>
          <w:rFonts w:ascii="Times New Roman" w:hAnsi="Times New Roman"/>
        </w:rPr>
        <w:t xml:space="preserve"> with</w:t>
      </w:r>
      <w:r w:rsidRPr="00127D44">
        <w:rPr>
          <w:rFonts w:ascii="Times New Roman" w:hAnsi="Times New Roman"/>
        </w:rPr>
        <w:t xml:space="preserve"> … </w:t>
      </w:r>
      <w:r w:rsidRPr="00127D44">
        <w:rPr>
          <w:rFonts w:ascii="Times New Roman" w:hAnsi="Times New Roman"/>
          <w:color w:val="FF0000"/>
        </w:rPr>
        <w:t>and Rel-14 dynamic HARQ-ACK delay</w:t>
      </w:r>
      <w:r w:rsidRPr="00127D44">
        <w:rPr>
          <w:rFonts w:ascii="Times New Roman" w:hAnsi="Times New Roman"/>
        </w:rPr>
        <w:t xml:space="preserve">”. On this matter, the main reason for having deleted “Rel-14 dynamic HARQ-ACK delay” had to do with the fact that it was unclear what is really meant by “dynamic HARQ-ACK delay”, since it may encompass for example the scheduling possibility to delay HARQ-ACK &gt; 4 which is obviously not incompatible, and other functionalities that are not incompatible either. The misunderstanding that </w:t>
      </w:r>
      <w:r w:rsidR="002F5AD2">
        <w:rPr>
          <w:rFonts w:ascii="Times New Roman" w:hAnsi="Times New Roman"/>
        </w:rPr>
        <w:t>led to</w:t>
      </w:r>
      <w:r w:rsidRPr="00127D44">
        <w:rPr>
          <w:rFonts w:ascii="Times New Roman" w:hAnsi="Times New Roman"/>
        </w:rPr>
        <w:t xml:space="preserve"> the concern seems to </w:t>
      </w:r>
      <w:proofErr w:type="gramStart"/>
      <w:r w:rsidR="002F5AD2">
        <w:rPr>
          <w:rFonts w:ascii="Times New Roman" w:hAnsi="Times New Roman"/>
        </w:rPr>
        <w:t>be connected with</w:t>
      </w:r>
      <w:proofErr w:type="gramEnd"/>
      <w:r w:rsidR="002F5AD2">
        <w:rPr>
          <w:rFonts w:ascii="Times New Roman" w:hAnsi="Times New Roman"/>
        </w:rPr>
        <w:t xml:space="preserve"> having interpreted that</w:t>
      </w:r>
      <w:r w:rsidRPr="00127D44">
        <w:rPr>
          <w:rFonts w:ascii="Times New Roman" w:hAnsi="Times New Roman"/>
        </w:rPr>
        <w:t xml:space="preserve"> “Rel-14 dynamic HARQ-ACK delay” equals to “HARQ-ACK delay field” but it is not the same, since as we expressed it before the wording “Rel-14 dynamic HARQ-ACK delay” can be seen as encompassing more than just what is provided by a DCI field. </w:t>
      </w:r>
      <w:r w:rsidR="006274AB">
        <w:rPr>
          <w:rFonts w:ascii="Times New Roman" w:hAnsi="Times New Roman"/>
        </w:rPr>
        <w:t>Moreover,</w:t>
      </w:r>
      <w:r w:rsidRPr="00127D44">
        <w:rPr>
          <w:rFonts w:ascii="Times New Roman" w:hAnsi="Times New Roman"/>
        </w:rPr>
        <w:t xml:space="preserve"> it should be clear from the agreements on the “HARQ-ACK delay” (and from TS 36.212)</w:t>
      </w:r>
      <w:r w:rsidR="006274AB">
        <w:rPr>
          <w:rFonts w:ascii="Times New Roman" w:hAnsi="Times New Roman"/>
        </w:rPr>
        <w:t xml:space="preserve"> that i</w:t>
      </w:r>
      <w:r w:rsidRPr="00127D44">
        <w:rPr>
          <w:rFonts w:ascii="Times New Roman" w:hAnsi="Times New Roman"/>
        </w:rPr>
        <w:t>n Rel-17 for the 14 HARQ processes feature, the HARQ-ACK delays are only provided through the “</w:t>
      </w:r>
      <w:r w:rsidRPr="002E632D">
        <w:rPr>
          <w:rFonts w:ascii="Times New Roman" w:hAnsi="Times New Roman"/>
          <w:i/>
          <w:iCs/>
        </w:rPr>
        <w:t>PDSCH scheduling delay and HARQ-ACK delay for 14 HARQ</w:t>
      </w:r>
      <w:r w:rsidRPr="00127D44">
        <w:rPr>
          <w:rFonts w:ascii="Times New Roman" w:hAnsi="Times New Roman"/>
        </w:rPr>
        <w:t>” DCI field</w:t>
      </w:r>
      <w:r>
        <w:rPr>
          <w:rFonts w:ascii="Times New Roman" w:hAnsi="Times New Roman"/>
        </w:rPr>
        <w:t>”.</w:t>
      </w:r>
    </w:p>
    <w:p w14:paraId="6FF59AAA" w14:textId="0A7C9DBD" w:rsidR="00127D44" w:rsidRDefault="00801E74" w:rsidP="00801E74">
      <w:pPr>
        <w:pStyle w:val="Observation"/>
        <w:ind w:left="1701" w:hanging="1701"/>
      </w:pPr>
      <w:bookmarkStart w:id="12" w:name="_Toc90045098"/>
      <w:r>
        <w:t xml:space="preserve">The last-minute comment on “Proposed conclusion 3-3” had to do </w:t>
      </w:r>
      <w:r w:rsidRPr="00801E74">
        <w:t xml:space="preserve">with having deleted the following </w:t>
      </w:r>
      <w:r w:rsidRPr="00801E74">
        <w:rPr>
          <w:color w:val="FF0000"/>
        </w:rPr>
        <w:t>text in red</w:t>
      </w:r>
      <w:r w:rsidRPr="00801E74">
        <w:t>: “</w:t>
      </w:r>
      <w:r w:rsidRPr="00801E74">
        <w:rPr>
          <w:i/>
          <w:iCs/>
        </w:rPr>
        <w:t>except for the simultaneous configuration</w:t>
      </w:r>
      <w:r w:rsidR="00FC010A">
        <w:rPr>
          <w:i/>
          <w:iCs/>
        </w:rPr>
        <w:t xml:space="preserve"> with</w:t>
      </w:r>
      <w:r w:rsidRPr="00801E74">
        <w:rPr>
          <w:i/>
          <w:iCs/>
        </w:rPr>
        <w:t xml:space="preserve"> … </w:t>
      </w:r>
      <w:r w:rsidRPr="00801E74">
        <w:rPr>
          <w:i/>
          <w:iCs/>
          <w:color w:val="FF0000"/>
        </w:rPr>
        <w:t>and Rel-14 dynamic HARQ-ACK delay</w:t>
      </w:r>
      <w:r w:rsidRPr="00801E74">
        <w:t>”</w:t>
      </w:r>
      <w:r>
        <w:t>.</w:t>
      </w:r>
      <w:bookmarkEnd w:id="12"/>
    </w:p>
    <w:p w14:paraId="10A864A3" w14:textId="5D6674EE" w:rsidR="00801E74" w:rsidRDefault="00801E74" w:rsidP="00801E74">
      <w:pPr>
        <w:pStyle w:val="Observation"/>
        <w:ind w:left="1701" w:hanging="1701"/>
      </w:pPr>
      <w:bookmarkStart w:id="13" w:name="_Toc90045099"/>
      <w:r>
        <w:t>T</w:t>
      </w:r>
      <w:r w:rsidRPr="00801E74">
        <w:t>he reason for having deleted “</w:t>
      </w:r>
      <w:r w:rsidRPr="00801E74">
        <w:rPr>
          <w:color w:val="FF0000"/>
        </w:rPr>
        <w:t>Rel-14 dynamic HARQ-ACK delay</w:t>
      </w:r>
      <w:r w:rsidRPr="00801E74">
        <w:t xml:space="preserve">” </w:t>
      </w:r>
      <w:r>
        <w:t xml:space="preserve">is the broadness of the term </w:t>
      </w:r>
      <w:r w:rsidR="00163513" w:rsidRPr="00801E74">
        <w:rPr>
          <w:color w:val="FF0000"/>
        </w:rPr>
        <w:t>in red</w:t>
      </w:r>
      <w:r w:rsidR="00163513">
        <w:t xml:space="preserve"> </w:t>
      </w:r>
      <w:r>
        <w:t xml:space="preserve">which encompasses </w:t>
      </w:r>
      <w:r w:rsidRPr="00801E74">
        <w:t>functionalities that are not incompatible</w:t>
      </w:r>
      <w:r w:rsidR="00E71DD5">
        <w:t xml:space="preserve"> with the 14 HARQ processes feature</w:t>
      </w:r>
      <w:r>
        <w:t xml:space="preserve">, </w:t>
      </w:r>
      <w:r w:rsidRPr="00801E74">
        <w:t xml:space="preserve">for example the scheduling </w:t>
      </w:r>
      <w:r w:rsidR="00E71DD5">
        <w:t>possibility</w:t>
      </w:r>
      <w:r w:rsidRPr="00801E74">
        <w:t xml:space="preserve"> to delay HARQ-ACK &gt; 4 which is obviously not incompatible</w:t>
      </w:r>
      <w:r>
        <w:t>.</w:t>
      </w:r>
      <w:bookmarkEnd w:id="13"/>
    </w:p>
    <w:p w14:paraId="3AA0F618" w14:textId="77777777" w:rsidR="006274AB" w:rsidRDefault="00801E74" w:rsidP="00801E74">
      <w:pPr>
        <w:pStyle w:val="Observation"/>
        <w:ind w:left="1701" w:hanging="1701"/>
      </w:pPr>
      <w:bookmarkStart w:id="14" w:name="_Toc90045100"/>
      <w:r>
        <w:t xml:space="preserve">It seems that </w:t>
      </w:r>
      <w:r w:rsidR="006274AB">
        <w:t>the last-minute</w:t>
      </w:r>
      <w:r w:rsidR="002F5AD2">
        <w:t xml:space="preserve"> </w:t>
      </w:r>
      <w:r w:rsidRPr="00801E74">
        <w:t>concern</w:t>
      </w:r>
      <w:r w:rsidR="002F5AD2">
        <w:t xml:space="preserve"> </w:t>
      </w:r>
      <w:r w:rsidR="006274AB">
        <w:t>had to do with having</w:t>
      </w:r>
      <w:r w:rsidR="002F5AD2">
        <w:t xml:space="preserve"> interpreted that</w:t>
      </w:r>
      <w:r w:rsidRPr="00801E74">
        <w:t xml:space="preserve"> “Rel-14 dynamic HARQ-ACK delay” equals to “HARQ-ACK delay field” but it is not the same, since the wording “Rel-14 dynamic HARQ-ACK delay” can be seen as encompassing more than just what is provided by a DCI field</w:t>
      </w:r>
      <w:r>
        <w:t>.</w:t>
      </w:r>
      <w:bookmarkEnd w:id="14"/>
      <w:r w:rsidR="00163513">
        <w:t xml:space="preserve"> </w:t>
      </w:r>
    </w:p>
    <w:p w14:paraId="09014C48" w14:textId="0FB445DB" w:rsidR="00127D44" w:rsidRDefault="002A595F" w:rsidP="00801E74">
      <w:pPr>
        <w:pStyle w:val="Observation"/>
        <w:ind w:left="1701" w:hanging="1701"/>
      </w:pPr>
      <w:bookmarkStart w:id="15" w:name="_Toc90045101"/>
      <w:r>
        <w:t>By</w:t>
      </w:r>
      <w:r w:rsidR="006274AB">
        <w:t xml:space="preserve"> having deleted “</w:t>
      </w:r>
      <w:r w:rsidR="006274AB" w:rsidRPr="00801E74">
        <w:rPr>
          <w:color w:val="FF0000"/>
        </w:rPr>
        <w:t>Rel-14 dynamic HARQ-ACK delay</w:t>
      </w:r>
      <w:r w:rsidR="006274AB">
        <w:t xml:space="preserve">”, there is no intention of </w:t>
      </w:r>
      <w:r>
        <w:t>performing a</w:t>
      </w:r>
      <w:r w:rsidR="006274AB" w:rsidRPr="006274AB">
        <w:t xml:space="preserve"> dynamic switching between </w:t>
      </w:r>
      <w:r w:rsidR="006A59B2">
        <w:t>legacy</w:t>
      </w:r>
      <w:r w:rsidR="006274AB" w:rsidRPr="006274AB">
        <w:t xml:space="preserve"> “HARQ-ACK delay</w:t>
      </w:r>
      <w:r w:rsidR="006A59B2">
        <w:t>s</w:t>
      </w:r>
      <w:r w:rsidR="006274AB" w:rsidRPr="006274AB">
        <w:t>”</w:t>
      </w:r>
      <w:r w:rsidR="006A59B2">
        <w:t xml:space="preserve"> and “Rel-</w:t>
      </w:r>
      <w:r w:rsidR="00FB145F">
        <w:t>17</w:t>
      </w:r>
      <w:r w:rsidR="006A59B2">
        <w:t xml:space="preserve"> HARQ-ACK delays”</w:t>
      </w:r>
      <w:r>
        <w:t xml:space="preserve">. Indeed, </w:t>
      </w:r>
      <w:r w:rsidR="006A59B2">
        <w:t xml:space="preserve">from </w:t>
      </w:r>
      <w:r w:rsidR="006274AB">
        <w:t>TS 36.212</w:t>
      </w:r>
      <w:r w:rsidR="00FB145F">
        <w:t>,</w:t>
      </w:r>
      <w:r w:rsidR="006274AB">
        <w:t xml:space="preserve"> </w:t>
      </w:r>
      <w:r w:rsidR="006274AB" w:rsidRPr="006274AB">
        <w:t>for the 14 HARQ processes feature</w:t>
      </w:r>
      <w:r w:rsidR="00FB145F">
        <w:t xml:space="preserve"> </w:t>
      </w:r>
      <w:r w:rsidR="006274AB" w:rsidRPr="006274AB">
        <w:t xml:space="preserve">the HARQ-ACK delays are only </w:t>
      </w:r>
      <w:r w:rsidR="006A59B2">
        <w:t xml:space="preserve">possible to be </w:t>
      </w:r>
      <w:r w:rsidR="006274AB" w:rsidRPr="006274AB">
        <w:t>provided through the “PDSCH scheduling delay and HARQ-ACK delay for 14 HARQ” DCI field</w:t>
      </w:r>
      <w:r w:rsidR="00163513">
        <w:t>.</w:t>
      </w:r>
      <w:bookmarkEnd w:id="15"/>
    </w:p>
    <w:p w14:paraId="0A9CF26C" w14:textId="6E0CF040" w:rsidR="006A59B2" w:rsidRDefault="006A59B2" w:rsidP="002A595F">
      <w:pPr>
        <w:pStyle w:val="Observation"/>
        <w:ind w:left="1701" w:hanging="1701"/>
      </w:pPr>
      <w:bookmarkStart w:id="16" w:name="_Toc90045102"/>
      <w:r>
        <w:t>Based on the clarification provided in the previous observations, it should be clear that we can proceed with “Proposed conclusion 3-3” from RAN1# 107-e.</w:t>
      </w:r>
      <w:bookmarkEnd w:id="16"/>
      <w:r>
        <w:t xml:space="preserve"> </w:t>
      </w:r>
    </w:p>
    <w:p w14:paraId="4111C062" w14:textId="77777777" w:rsidR="006A59B2" w:rsidRDefault="006A59B2" w:rsidP="006A59B2">
      <w:pPr>
        <w:pStyle w:val="Proposal"/>
      </w:pPr>
      <w:bookmarkStart w:id="17" w:name="_Toc90045109"/>
      <w:r>
        <w:t xml:space="preserve">Conclusion: </w:t>
      </w:r>
      <w:r w:rsidRPr="00163513">
        <w:t xml:space="preserve">It is RAN1 assumption the 14 HARQ processes feature is compatible with all other </w:t>
      </w:r>
      <w:proofErr w:type="spellStart"/>
      <w:r w:rsidRPr="00163513">
        <w:t>eMTC</w:t>
      </w:r>
      <w:proofErr w:type="spellEnd"/>
      <w:r w:rsidRPr="00163513">
        <w:t xml:space="preserve"> features </w:t>
      </w:r>
      <w:r>
        <w:t xml:space="preserve">in connected-mode </w:t>
      </w:r>
      <w:r w:rsidRPr="00163513">
        <w:t xml:space="preserve">applicable for HD-FDD Cat. M1 UEs in CE mode A, except for the simultaneous configuration with Rel-16 </w:t>
      </w:r>
      <w:proofErr w:type="gramStart"/>
      <w:r w:rsidRPr="00163513">
        <w:t>Multi-TB</w:t>
      </w:r>
      <w:proofErr w:type="gramEnd"/>
      <w:r w:rsidRPr="00163513">
        <w:t xml:space="preserve"> scheduling, to be captured in the note column in FG 1-3.</w:t>
      </w:r>
      <w:bookmarkEnd w:id="17"/>
      <w:r>
        <w:t xml:space="preserve"> </w:t>
      </w:r>
    </w:p>
    <w:p w14:paraId="5A3E6213" w14:textId="287A1948" w:rsidR="00FB145F" w:rsidRDefault="00FB145F" w:rsidP="00FB145F">
      <w:pPr>
        <w:pStyle w:val="Observation"/>
        <w:ind w:left="1701" w:hanging="1701"/>
      </w:pPr>
      <w:bookmarkStart w:id="18" w:name="_Toc90045103"/>
      <w:r>
        <w:t>If</w:t>
      </w:r>
      <w:r w:rsidR="006A59B2">
        <w:t xml:space="preserve"> a</w:t>
      </w:r>
      <w:r>
        <w:t>fter the provided explanations there were a request to make explicit that there is no intention of performing a</w:t>
      </w:r>
      <w:r w:rsidRPr="006274AB">
        <w:t xml:space="preserve"> dynamic switching between </w:t>
      </w:r>
      <w:r>
        <w:t>legacy</w:t>
      </w:r>
      <w:r w:rsidRPr="006274AB">
        <w:t xml:space="preserve"> “HARQ-ACK delay</w:t>
      </w:r>
      <w:r>
        <w:t>s</w:t>
      </w:r>
      <w:r w:rsidRPr="006274AB">
        <w:t>”</w:t>
      </w:r>
      <w:r>
        <w:t xml:space="preserve"> and “Rel-17 HARQ-ACK delays”, then we can write a second conclusion as below (although it seems unnecessary based on w</w:t>
      </w:r>
      <w:r w:rsidR="00030641">
        <w:t>hat</w:t>
      </w:r>
      <w:r>
        <w:t xml:space="preserve"> is already captured in TS 36.212):</w:t>
      </w:r>
      <w:bookmarkEnd w:id="18"/>
    </w:p>
    <w:p w14:paraId="68C5725E" w14:textId="69BC077E" w:rsidR="00FB145F" w:rsidRDefault="00FB145F" w:rsidP="00FB145F">
      <w:pPr>
        <w:pStyle w:val="Observation"/>
        <w:numPr>
          <w:ilvl w:val="2"/>
          <w:numId w:val="23"/>
        </w:numPr>
      </w:pPr>
      <w:bookmarkStart w:id="19" w:name="_Toc90045104"/>
      <w:r w:rsidRPr="00163513">
        <w:t>In Rel-17 for the 14 HARQ processes feature, the HARQ-ACK delays are only provided through the “PDSCH scheduling delay and HARQ-ACK delay for 14 HARQ” DCI field</w:t>
      </w:r>
      <w:bookmarkEnd w:id="19"/>
      <w:r w:rsidR="00FC010A">
        <w:t>.</w:t>
      </w:r>
    </w:p>
    <w:p w14:paraId="301BA040" w14:textId="77777777" w:rsidR="006A59B2" w:rsidRPr="00163513" w:rsidRDefault="006A59B2" w:rsidP="006A59B2">
      <w:pPr>
        <w:pStyle w:val="Proposal"/>
        <w:numPr>
          <w:ilvl w:val="0"/>
          <w:numId w:val="0"/>
        </w:numPr>
        <w:ind w:left="1701" w:hanging="1701"/>
      </w:pPr>
    </w:p>
    <w:p w14:paraId="25D0B1EA" w14:textId="0F504AAB" w:rsidR="00BD5B3D" w:rsidRDefault="00BD5B3D" w:rsidP="00BD5B3D">
      <w:pPr>
        <w:pStyle w:val="Heading2"/>
      </w:pPr>
      <w:r>
        <w:t>3.2</w:t>
      </w:r>
      <w:r>
        <w:tab/>
        <w:t>Support of a</w:t>
      </w:r>
      <w:r w:rsidRPr="00BD5B3D">
        <w:t xml:space="preserve"> maximum DL TBS of 1736 bits for HD-FDD Cat. M1 UEs in CE mode A only</w:t>
      </w:r>
    </w:p>
    <w:p w14:paraId="2DF67EC3" w14:textId="7DF3EDB2" w:rsidR="00C005E4" w:rsidRDefault="00C005E4" w:rsidP="00C005E4">
      <w:pPr>
        <w:pStyle w:val="BodyText"/>
        <w:jc w:val="center"/>
        <w:rPr>
          <w:b/>
          <w:bCs/>
          <w:sz w:val="16"/>
          <w:szCs w:val="16"/>
        </w:rPr>
      </w:pPr>
      <w:r w:rsidRPr="0078341E">
        <w:rPr>
          <w:b/>
          <w:bCs/>
          <w:sz w:val="16"/>
          <w:szCs w:val="16"/>
        </w:rPr>
        <w:t xml:space="preserve">Table </w:t>
      </w:r>
      <w:r>
        <w:rPr>
          <w:b/>
          <w:bCs/>
          <w:sz w:val="16"/>
          <w:szCs w:val="16"/>
        </w:rPr>
        <w:t>4</w:t>
      </w:r>
      <w:r w:rsidRPr="0078341E">
        <w:rPr>
          <w:b/>
          <w:bCs/>
          <w:sz w:val="16"/>
          <w:szCs w:val="16"/>
        </w:rPr>
        <w:t>:</w:t>
      </w:r>
      <w:r>
        <w:rPr>
          <w:b/>
          <w:bCs/>
          <w:sz w:val="16"/>
          <w:szCs w:val="16"/>
        </w:rPr>
        <w:t xml:space="preserve"> </w:t>
      </w:r>
      <w:r w:rsidRPr="0078341E">
        <w:rPr>
          <w:b/>
          <w:bCs/>
          <w:sz w:val="16"/>
          <w:szCs w:val="16"/>
        </w:rPr>
        <w:t xml:space="preserve">RAN1 UE feature list for </w:t>
      </w:r>
      <w:r>
        <w:rPr>
          <w:b/>
          <w:bCs/>
          <w:sz w:val="16"/>
          <w:szCs w:val="16"/>
        </w:rPr>
        <w:t>the support of a max DL TBS of 1736 bits for HD-FDD Cat. M1 UEs in CE Mode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687"/>
        <w:gridCol w:w="1169"/>
        <w:gridCol w:w="1666"/>
        <w:gridCol w:w="1460"/>
        <w:gridCol w:w="1125"/>
        <w:gridCol w:w="1150"/>
      </w:tblGrid>
      <w:tr w:rsidR="00C519F5" w:rsidRPr="00C519F5" w14:paraId="10C5218C" w14:textId="77777777" w:rsidTr="00D777DB">
        <w:tc>
          <w:tcPr>
            <w:tcW w:w="1232" w:type="pct"/>
            <w:tcBorders>
              <w:top w:val="single" w:sz="4" w:space="0" w:color="auto"/>
              <w:left w:val="single" w:sz="4" w:space="0" w:color="auto"/>
              <w:bottom w:val="single" w:sz="4" w:space="0" w:color="auto"/>
              <w:right w:val="single" w:sz="4" w:space="0" w:color="auto"/>
            </w:tcBorders>
            <w:hideMark/>
          </w:tcPr>
          <w:p w14:paraId="2546FC26" w14:textId="77777777" w:rsidR="00C519F5" w:rsidRPr="00C519F5" w:rsidRDefault="00C519F5" w:rsidP="00C1090C">
            <w:pPr>
              <w:pStyle w:val="TAH"/>
              <w:rPr>
                <w:sz w:val="14"/>
                <w:szCs w:val="14"/>
              </w:rPr>
            </w:pPr>
            <w:r w:rsidRPr="00C519F5">
              <w:rPr>
                <w:sz w:val="14"/>
                <w:szCs w:val="14"/>
              </w:rPr>
              <w:lastRenderedPageBreak/>
              <w:t>Features</w:t>
            </w:r>
          </w:p>
        </w:tc>
        <w:tc>
          <w:tcPr>
            <w:tcW w:w="357" w:type="pct"/>
            <w:tcBorders>
              <w:top w:val="single" w:sz="4" w:space="0" w:color="auto"/>
              <w:left w:val="single" w:sz="4" w:space="0" w:color="auto"/>
              <w:bottom w:val="single" w:sz="4" w:space="0" w:color="auto"/>
              <w:right w:val="single" w:sz="4" w:space="0" w:color="auto"/>
            </w:tcBorders>
            <w:hideMark/>
          </w:tcPr>
          <w:p w14:paraId="2F43F5C7" w14:textId="77777777" w:rsidR="00C519F5" w:rsidRPr="00C519F5" w:rsidRDefault="00C519F5" w:rsidP="00C1090C">
            <w:pPr>
              <w:pStyle w:val="TAH"/>
              <w:rPr>
                <w:sz w:val="14"/>
                <w:szCs w:val="14"/>
              </w:rPr>
            </w:pPr>
            <w:r w:rsidRPr="00C519F5">
              <w:rPr>
                <w:sz w:val="14"/>
                <w:szCs w:val="14"/>
              </w:rPr>
              <w:t>Index</w:t>
            </w:r>
          </w:p>
        </w:tc>
        <w:tc>
          <w:tcPr>
            <w:tcW w:w="607" w:type="pct"/>
            <w:tcBorders>
              <w:top w:val="single" w:sz="4" w:space="0" w:color="auto"/>
              <w:left w:val="single" w:sz="4" w:space="0" w:color="auto"/>
              <w:bottom w:val="single" w:sz="4" w:space="0" w:color="auto"/>
              <w:right w:val="single" w:sz="4" w:space="0" w:color="auto"/>
            </w:tcBorders>
            <w:hideMark/>
          </w:tcPr>
          <w:p w14:paraId="5D38A111" w14:textId="77777777" w:rsidR="00C519F5" w:rsidRPr="00C519F5" w:rsidRDefault="00C519F5" w:rsidP="00C1090C">
            <w:pPr>
              <w:pStyle w:val="TAH"/>
              <w:rPr>
                <w:sz w:val="14"/>
                <w:szCs w:val="14"/>
              </w:rPr>
            </w:pPr>
            <w:r w:rsidRPr="00C519F5">
              <w:rPr>
                <w:sz w:val="14"/>
                <w:szCs w:val="14"/>
              </w:rPr>
              <w:t>Feature group</w:t>
            </w:r>
          </w:p>
        </w:tc>
        <w:tc>
          <w:tcPr>
            <w:tcW w:w="865" w:type="pct"/>
            <w:tcBorders>
              <w:top w:val="single" w:sz="4" w:space="0" w:color="auto"/>
              <w:left w:val="single" w:sz="4" w:space="0" w:color="auto"/>
              <w:bottom w:val="single" w:sz="4" w:space="0" w:color="auto"/>
              <w:right w:val="single" w:sz="4" w:space="0" w:color="auto"/>
            </w:tcBorders>
            <w:hideMark/>
          </w:tcPr>
          <w:p w14:paraId="6087F7D8" w14:textId="77777777" w:rsidR="00C519F5" w:rsidRPr="00C519F5" w:rsidRDefault="00C519F5" w:rsidP="00C1090C">
            <w:pPr>
              <w:pStyle w:val="TAH"/>
              <w:rPr>
                <w:sz w:val="14"/>
                <w:szCs w:val="14"/>
              </w:rPr>
            </w:pPr>
            <w:r w:rsidRPr="00C519F5">
              <w:rPr>
                <w:sz w:val="14"/>
                <w:szCs w:val="14"/>
              </w:rPr>
              <w:t>Components</w:t>
            </w:r>
          </w:p>
        </w:tc>
        <w:tc>
          <w:tcPr>
            <w:tcW w:w="758" w:type="pct"/>
            <w:tcBorders>
              <w:top w:val="single" w:sz="4" w:space="0" w:color="auto"/>
              <w:left w:val="single" w:sz="4" w:space="0" w:color="auto"/>
              <w:bottom w:val="single" w:sz="4" w:space="0" w:color="auto"/>
              <w:right w:val="single" w:sz="4" w:space="0" w:color="auto"/>
            </w:tcBorders>
            <w:hideMark/>
          </w:tcPr>
          <w:p w14:paraId="5B3BFE2C" w14:textId="77777777" w:rsidR="00C519F5" w:rsidRPr="00C519F5" w:rsidRDefault="00C519F5" w:rsidP="00C1090C">
            <w:pPr>
              <w:pStyle w:val="TAH"/>
              <w:rPr>
                <w:sz w:val="14"/>
                <w:szCs w:val="14"/>
              </w:rPr>
            </w:pPr>
            <w:r w:rsidRPr="00C519F5">
              <w:rPr>
                <w:sz w:val="14"/>
                <w:szCs w:val="14"/>
              </w:rPr>
              <w:t>Prerequisite feature groups</w:t>
            </w:r>
          </w:p>
        </w:tc>
        <w:tc>
          <w:tcPr>
            <w:tcW w:w="584" w:type="pct"/>
            <w:tcBorders>
              <w:top w:val="single" w:sz="4" w:space="0" w:color="auto"/>
              <w:left w:val="single" w:sz="4" w:space="0" w:color="auto"/>
              <w:bottom w:val="single" w:sz="4" w:space="0" w:color="auto"/>
              <w:right w:val="single" w:sz="4" w:space="0" w:color="auto"/>
            </w:tcBorders>
            <w:hideMark/>
          </w:tcPr>
          <w:p w14:paraId="2792BC9F" w14:textId="77777777" w:rsidR="00C519F5" w:rsidRPr="00C519F5" w:rsidRDefault="00C519F5" w:rsidP="00C1090C">
            <w:pPr>
              <w:pStyle w:val="TAH"/>
              <w:rPr>
                <w:sz w:val="14"/>
                <w:szCs w:val="14"/>
              </w:rPr>
            </w:pPr>
            <w:r w:rsidRPr="00C519F5">
              <w:rPr>
                <w:sz w:val="14"/>
                <w:szCs w:val="14"/>
              </w:rPr>
              <w:t>Need for the eNB to know if the feature is supported</w:t>
            </w:r>
          </w:p>
        </w:tc>
        <w:tc>
          <w:tcPr>
            <w:tcW w:w="597" w:type="pct"/>
            <w:tcBorders>
              <w:top w:val="single" w:sz="4" w:space="0" w:color="auto"/>
              <w:left w:val="single" w:sz="4" w:space="0" w:color="auto"/>
              <w:bottom w:val="single" w:sz="4" w:space="0" w:color="auto"/>
              <w:right w:val="single" w:sz="4" w:space="0" w:color="auto"/>
            </w:tcBorders>
            <w:hideMark/>
          </w:tcPr>
          <w:p w14:paraId="435AE30C" w14:textId="77777777" w:rsidR="00C519F5" w:rsidRPr="00C519F5" w:rsidRDefault="00C519F5" w:rsidP="00C1090C">
            <w:pPr>
              <w:pStyle w:val="TAH"/>
              <w:rPr>
                <w:sz w:val="14"/>
                <w:szCs w:val="14"/>
              </w:rPr>
            </w:pPr>
            <w:r w:rsidRPr="00C519F5">
              <w:rPr>
                <w:sz w:val="14"/>
                <w:szCs w:val="14"/>
              </w:rPr>
              <w:t>[Need for the UE to know if the feature is supported (only for V2X WI, where the PC5-RRC capability signalling is delivered between the UEs)]</w:t>
            </w:r>
          </w:p>
        </w:tc>
      </w:tr>
      <w:tr w:rsidR="00C519F5" w:rsidRPr="00C519F5" w14:paraId="59EE75B7" w14:textId="77777777" w:rsidTr="00D777DB">
        <w:tc>
          <w:tcPr>
            <w:tcW w:w="1232" w:type="pct"/>
            <w:tcBorders>
              <w:top w:val="single" w:sz="4" w:space="0" w:color="auto"/>
              <w:left w:val="single" w:sz="4" w:space="0" w:color="auto"/>
              <w:bottom w:val="single" w:sz="4" w:space="0" w:color="auto"/>
              <w:right w:val="single" w:sz="4" w:space="0" w:color="auto"/>
            </w:tcBorders>
            <w:hideMark/>
          </w:tcPr>
          <w:p w14:paraId="34E14466" w14:textId="77777777" w:rsidR="00C519F5" w:rsidRPr="00D227E3" w:rsidRDefault="00C519F5" w:rsidP="00C1090C">
            <w:pPr>
              <w:pStyle w:val="TAL"/>
              <w:rPr>
                <w:sz w:val="14"/>
                <w:szCs w:val="14"/>
              </w:rPr>
            </w:pPr>
            <w:r w:rsidRPr="00D227E3">
              <w:rPr>
                <w:sz w:val="14"/>
                <w:szCs w:val="14"/>
              </w:rPr>
              <w:t>1. NB_IOTenh4_LTE_eMTC6</w:t>
            </w:r>
          </w:p>
        </w:tc>
        <w:tc>
          <w:tcPr>
            <w:tcW w:w="357" w:type="pct"/>
            <w:tcBorders>
              <w:top w:val="single" w:sz="4" w:space="0" w:color="auto"/>
              <w:left w:val="single" w:sz="4" w:space="0" w:color="auto"/>
              <w:bottom w:val="single" w:sz="4" w:space="0" w:color="auto"/>
              <w:right w:val="single" w:sz="4" w:space="0" w:color="auto"/>
            </w:tcBorders>
            <w:hideMark/>
          </w:tcPr>
          <w:p w14:paraId="4109C9C8" w14:textId="77777777" w:rsidR="00C519F5" w:rsidRPr="00C519F5" w:rsidRDefault="00C519F5" w:rsidP="00C1090C">
            <w:pPr>
              <w:pStyle w:val="TAL"/>
              <w:rPr>
                <w:sz w:val="14"/>
                <w:szCs w:val="14"/>
                <w:lang w:eastAsia="ja-JP"/>
              </w:rPr>
            </w:pPr>
            <w:r w:rsidRPr="00C519F5">
              <w:rPr>
                <w:sz w:val="14"/>
                <w:szCs w:val="14"/>
                <w:lang w:eastAsia="ja-JP"/>
              </w:rPr>
              <w:t>1-4</w:t>
            </w:r>
          </w:p>
        </w:tc>
        <w:tc>
          <w:tcPr>
            <w:tcW w:w="607" w:type="pct"/>
            <w:tcBorders>
              <w:top w:val="single" w:sz="4" w:space="0" w:color="auto"/>
              <w:left w:val="single" w:sz="4" w:space="0" w:color="auto"/>
              <w:bottom w:val="single" w:sz="4" w:space="0" w:color="auto"/>
              <w:right w:val="single" w:sz="4" w:space="0" w:color="auto"/>
            </w:tcBorders>
            <w:hideMark/>
          </w:tcPr>
          <w:p w14:paraId="2F8ED77F" w14:textId="77777777" w:rsidR="00C519F5" w:rsidRPr="00C519F5" w:rsidRDefault="00C519F5" w:rsidP="00C1090C">
            <w:pPr>
              <w:pStyle w:val="TAL"/>
              <w:rPr>
                <w:sz w:val="14"/>
                <w:szCs w:val="14"/>
              </w:rPr>
            </w:pPr>
            <w:r w:rsidRPr="00C519F5">
              <w:rPr>
                <w:sz w:val="14"/>
                <w:szCs w:val="14"/>
              </w:rPr>
              <w:t>A maximum DL TBS of 1736 bits for HD-FDD Cat. M1 UEs in CE mode A only</w:t>
            </w:r>
          </w:p>
        </w:tc>
        <w:tc>
          <w:tcPr>
            <w:tcW w:w="865" w:type="pct"/>
            <w:tcBorders>
              <w:top w:val="single" w:sz="4" w:space="0" w:color="auto"/>
              <w:left w:val="single" w:sz="4" w:space="0" w:color="auto"/>
              <w:bottom w:val="single" w:sz="4" w:space="0" w:color="auto"/>
              <w:right w:val="single" w:sz="4" w:space="0" w:color="auto"/>
            </w:tcBorders>
            <w:hideMark/>
          </w:tcPr>
          <w:p w14:paraId="15EDF4D0" w14:textId="77777777" w:rsidR="00C519F5" w:rsidRPr="00C519F5" w:rsidRDefault="00C519F5" w:rsidP="00C1090C">
            <w:pPr>
              <w:pStyle w:val="TAL"/>
              <w:rPr>
                <w:sz w:val="14"/>
                <w:szCs w:val="14"/>
              </w:rPr>
            </w:pPr>
            <w:r w:rsidRPr="00C519F5">
              <w:rPr>
                <w:sz w:val="14"/>
                <w:szCs w:val="14"/>
              </w:rPr>
              <w:t xml:space="preserve">1. </w:t>
            </w:r>
            <w:r w:rsidRPr="00C519F5">
              <w:rPr>
                <w:rFonts w:eastAsia="MS Mincho"/>
                <w:sz w:val="14"/>
                <w:szCs w:val="14"/>
                <w:lang w:eastAsia="ja-JP"/>
              </w:rPr>
              <w:t>Support of 1736 bits max DL TBS for unicast in HD-FDD in CE mode A in RRC_CONNECTED</w:t>
            </w:r>
          </w:p>
        </w:tc>
        <w:tc>
          <w:tcPr>
            <w:tcW w:w="758" w:type="pct"/>
            <w:tcBorders>
              <w:top w:val="single" w:sz="4" w:space="0" w:color="auto"/>
              <w:left w:val="single" w:sz="4" w:space="0" w:color="auto"/>
              <w:bottom w:val="single" w:sz="4" w:space="0" w:color="auto"/>
              <w:right w:val="single" w:sz="4" w:space="0" w:color="auto"/>
            </w:tcBorders>
            <w:shd w:val="clear" w:color="auto" w:fill="auto"/>
            <w:hideMark/>
          </w:tcPr>
          <w:p w14:paraId="64D58296" w14:textId="77777777" w:rsidR="00C519F5" w:rsidRPr="00C519F5" w:rsidRDefault="00C519F5" w:rsidP="00C1090C">
            <w:pPr>
              <w:pStyle w:val="TAL"/>
              <w:rPr>
                <w:sz w:val="14"/>
                <w:szCs w:val="14"/>
              </w:rPr>
            </w:pPr>
            <w:r w:rsidRPr="00C519F5">
              <w:rPr>
                <w:sz w:val="14"/>
                <w:szCs w:val="14"/>
              </w:rPr>
              <w:t>1. Category M1</w:t>
            </w:r>
          </w:p>
          <w:p w14:paraId="6DFFA914" w14:textId="77777777" w:rsidR="00C519F5" w:rsidRPr="00C519F5" w:rsidRDefault="00C519F5" w:rsidP="00C1090C">
            <w:pPr>
              <w:pStyle w:val="TAL"/>
              <w:rPr>
                <w:sz w:val="14"/>
                <w:szCs w:val="14"/>
              </w:rPr>
            </w:pPr>
            <w:r w:rsidRPr="00C519F5">
              <w:rPr>
                <w:sz w:val="14"/>
                <w:szCs w:val="14"/>
              </w:rPr>
              <w:t>2. HD-FDD</w:t>
            </w:r>
          </w:p>
          <w:p w14:paraId="04065663" w14:textId="5401FE1A" w:rsidR="00C519F5" w:rsidRPr="00D777DB" w:rsidRDefault="00C519F5" w:rsidP="00C1090C">
            <w:pPr>
              <w:pStyle w:val="TAL"/>
              <w:rPr>
                <w:strike/>
                <w:sz w:val="14"/>
                <w:szCs w:val="14"/>
              </w:rPr>
            </w:pPr>
          </w:p>
        </w:tc>
        <w:tc>
          <w:tcPr>
            <w:tcW w:w="584" w:type="pct"/>
            <w:tcBorders>
              <w:top w:val="single" w:sz="4" w:space="0" w:color="auto"/>
              <w:left w:val="single" w:sz="4" w:space="0" w:color="auto"/>
              <w:bottom w:val="single" w:sz="4" w:space="0" w:color="auto"/>
              <w:right w:val="single" w:sz="4" w:space="0" w:color="auto"/>
            </w:tcBorders>
            <w:hideMark/>
          </w:tcPr>
          <w:p w14:paraId="022CB9A8" w14:textId="77777777" w:rsidR="00C519F5" w:rsidRPr="00C519F5" w:rsidRDefault="00C519F5" w:rsidP="00C1090C">
            <w:pPr>
              <w:pStyle w:val="TAL"/>
              <w:rPr>
                <w:rFonts w:eastAsia="MS Mincho"/>
                <w:sz w:val="14"/>
                <w:szCs w:val="14"/>
                <w:lang w:eastAsia="ja-JP"/>
              </w:rPr>
            </w:pPr>
            <w:r w:rsidRPr="00C519F5">
              <w:rPr>
                <w:rFonts w:eastAsia="MS Mincho"/>
                <w:sz w:val="14"/>
                <w:szCs w:val="14"/>
                <w:lang w:eastAsia="ja-JP"/>
              </w:rPr>
              <w:t>Yes</w:t>
            </w:r>
          </w:p>
        </w:tc>
        <w:tc>
          <w:tcPr>
            <w:tcW w:w="597" w:type="pct"/>
            <w:tcBorders>
              <w:top w:val="single" w:sz="4" w:space="0" w:color="auto"/>
              <w:left w:val="single" w:sz="4" w:space="0" w:color="auto"/>
              <w:bottom w:val="single" w:sz="4" w:space="0" w:color="auto"/>
              <w:right w:val="single" w:sz="4" w:space="0" w:color="auto"/>
            </w:tcBorders>
            <w:hideMark/>
          </w:tcPr>
          <w:p w14:paraId="08DB2386" w14:textId="77777777" w:rsidR="00C519F5" w:rsidRPr="00C519F5" w:rsidRDefault="00C519F5" w:rsidP="00C1090C">
            <w:pPr>
              <w:pStyle w:val="TAL"/>
              <w:rPr>
                <w:rFonts w:eastAsia="MS Mincho"/>
                <w:sz w:val="14"/>
                <w:szCs w:val="14"/>
                <w:lang w:eastAsia="ja-JP"/>
              </w:rPr>
            </w:pPr>
            <w:r w:rsidRPr="00C519F5">
              <w:rPr>
                <w:rFonts w:eastAsia="MS Mincho"/>
                <w:sz w:val="14"/>
                <w:szCs w:val="14"/>
                <w:lang w:eastAsia="ja-JP"/>
              </w:rPr>
              <w:t>N/A</w:t>
            </w:r>
          </w:p>
        </w:tc>
      </w:tr>
    </w:tbl>
    <w:p w14:paraId="4D73ACC3" w14:textId="77777777" w:rsidR="00C519F5" w:rsidRDefault="00C519F5" w:rsidP="00C519F5">
      <w:pPr>
        <w:pStyle w:val="BodyText"/>
      </w:pPr>
    </w:p>
    <w:p w14:paraId="15482463" w14:textId="42A84BE0" w:rsidR="00C519F5" w:rsidRPr="00830DBD" w:rsidRDefault="00C519F5" w:rsidP="00C519F5">
      <w:pPr>
        <w:pStyle w:val="BodyText"/>
        <w:rPr>
          <w:rFonts w:ascii="Times New Roman" w:hAnsi="Times New Roman"/>
        </w:rPr>
      </w:pPr>
      <w:r w:rsidRPr="00830DBD">
        <w:rPr>
          <w:rFonts w:ascii="Times New Roman" w:hAnsi="Times New Roman"/>
        </w:rPr>
        <w:t>Table 4 continues: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024"/>
        <w:gridCol w:w="1150"/>
        <w:gridCol w:w="1119"/>
        <w:gridCol w:w="3671"/>
        <w:gridCol w:w="1531"/>
      </w:tblGrid>
      <w:tr w:rsidR="00C519F5" w:rsidRPr="00C519F5" w14:paraId="0F029D6E" w14:textId="77777777" w:rsidTr="009A0465">
        <w:tc>
          <w:tcPr>
            <w:tcW w:w="589" w:type="pct"/>
            <w:tcBorders>
              <w:top w:val="single" w:sz="4" w:space="0" w:color="auto"/>
              <w:left w:val="single" w:sz="4" w:space="0" w:color="auto"/>
              <w:bottom w:val="single" w:sz="4" w:space="0" w:color="auto"/>
              <w:right w:val="single" w:sz="4" w:space="0" w:color="auto"/>
            </w:tcBorders>
            <w:hideMark/>
          </w:tcPr>
          <w:p w14:paraId="7750C754" w14:textId="77777777" w:rsidR="00C519F5" w:rsidRPr="00C519F5" w:rsidRDefault="00C519F5" w:rsidP="00C1090C">
            <w:pPr>
              <w:pStyle w:val="TAN"/>
              <w:ind w:left="0" w:firstLine="0"/>
              <w:rPr>
                <w:b/>
                <w:sz w:val="14"/>
                <w:szCs w:val="16"/>
                <w:lang w:eastAsia="ja-JP"/>
              </w:rPr>
            </w:pPr>
            <w:r w:rsidRPr="00C519F5">
              <w:rPr>
                <w:b/>
                <w:sz w:val="14"/>
                <w:szCs w:val="16"/>
                <w:lang w:eastAsia="ja-JP"/>
              </w:rPr>
              <w:t>Consequence if the feature is not supported by the UE</w:t>
            </w:r>
          </w:p>
        </w:tc>
        <w:tc>
          <w:tcPr>
            <w:tcW w:w="532" w:type="pct"/>
            <w:tcBorders>
              <w:top w:val="single" w:sz="4" w:space="0" w:color="auto"/>
              <w:left w:val="single" w:sz="4" w:space="0" w:color="auto"/>
              <w:bottom w:val="single" w:sz="4" w:space="0" w:color="auto"/>
              <w:right w:val="single" w:sz="4" w:space="0" w:color="auto"/>
            </w:tcBorders>
            <w:hideMark/>
          </w:tcPr>
          <w:p w14:paraId="70FBD9EC" w14:textId="77777777" w:rsidR="00C519F5" w:rsidRPr="00C519F5" w:rsidRDefault="00C519F5" w:rsidP="00C1090C">
            <w:pPr>
              <w:pStyle w:val="TAN"/>
              <w:ind w:left="0" w:firstLine="0"/>
              <w:rPr>
                <w:b/>
                <w:sz w:val="14"/>
                <w:szCs w:val="16"/>
                <w:lang w:eastAsia="ja-JP"/>
              </w:rPr>
            </w:pPr>
            <w:r w:rsidRPr="00C519F5">
              <w:rPr>
                <w:b/>
                <w:sz w:val="14"/>
                <w:szCs w:val="16"/>
                <w:lang w:eastAsia="ja-JP"/>
              </w:rPr>
              <w:t>Type</w:t>
            </w:r>
          </w:p>
          <w:p w14:paraId="08E42F0B" w14:textId="77777777" w:rsidR="00C519F5" w:rsidRPr="00C519F5" w:rsidRDefault="00C519F5" w:rsidP="00C1090C">
            <w:pPr>
              <w:pStyle w:val="TAL"/>
              <w:rPr>
                <w:sz w:val="14"/>
                <w:szCs w:val="16"/>
                <w:lang w:eastAsia="ja-JP"/>
              </w:rPr>
            </w:pPr>
            <w:r w:rsidRPr="00C519F5">
              <w:rPr>
                <w:b/>
                <w:sz w:val="14"/>
                <w:szCs w:val="16"/>
                <w:lang w:eastAsia="ja-JP"/>
              </w:rPr>
              <w:t>(the ‘type’ definition from UE features should be based on the granularity of 1) Per UE or 2) Per Band or 3) Per BC or 4) Per FS or 5) Per FSPC)</w:t>
            </w:r>
          </w:p>
        </w:tc>
        <w:tc>
          <w:tcPr>
            <w:tcW w:w="597" w:type="pct"/>
            <w:tcBorders>
              <w:top w:val="single" w:sz="4" w:space="0" w:color="auto"/>
              <w:left w:val="single" w:sz="4" w:space="0" w:color="auto"/>
              <w:bottom w:val="single" w:sz="4" w:space="0" w:color="auto"/>
              <w:right w:val="single" w:sz="4" w:space="0" w:color="auto"/>
            </w:tcBorders>
            <w:hideMark/>
          </w:tcPr>
          <w:p w14:paraId="34ED79A9" w14:textId="77777777" w:rsidR="00C519F5" w:rsidRPr="00C519F5" w:rsidRDefault="00C519F5" w:rsidP="00C1090C">
            <w:pPr>
              <w:pStyle w:val="TAH"/>
              <w:rPr>
                <w:sz w:val="14"/>
                <w:szCs w:val="16"/>
              </w:rPr>
            </w:pPr>
            <w:r w:rsidRPr="00C519F5">
              <w:rPr>
                <w:sz w:val="14"/>
                <w:szCs w:val="16"/>
              </w:rPr>
              <w:t>Need of FDD/TDD differentiation</w:t>
            </w:r>
          </w:p>
        </w:tc>
        <w:tc>
          <w:tcPr>
            <w:tcW w:w="581" w:type="pct"/>
            <w:tcBorders>
              <w:top w:val="single" w:sz="4" w:space="0" w:color="auto"/>
              <w:left w:val="single" w:sz="4" w:space="0" w:color="auto"/>
              <w:bottom w:val="single" w:sz="4" w:space="0" w:color="auto"/>
              <w:right w:val="single" w:sz="4" w:space="0" w:color="auto"/>
            </w:tcBorders>
            <w:hideMark/>
          </w:tcPr>
          <w:p w14:paraId="156118DF" w14:textId="77777777" w:rsidR="00C519F5" w:rsidRPr="00C519F5" w:rsidRDefault="00C519F5" w:rsidP="00C1090C">
            <w:pPr>
              <w:pStyle w:val="TAH"/>
              <w:rPr>
                <w:sz w:val="14"/>
                <w:szCs w:val="16"/>
              </w:rPr>
            </w:pPr>
            <w:r w:rsidRPr="00C519F5">
              <w:rPr>
                <w:sz w:val="14"/>
                <w:szCs w:val="16"/>
              </w:rPr>
              <w:t>Capability interpretation for mixture of FDD/TDD</w:t>
            </w:r>
          </w:p>
        </w:tc>
        <w:tc>
          <w:tcPr>
            <w:tcW w:w="1906" w:type="pct"/>
            <w:tcBorders>
              <w:top w:val="single" w:sz="4" w:space="0" w:color="auto"/>
              <w:left w:val="single" w:sz="4" w:space="0" w:color="auto"/>
              <w:bottom w:val="single" w:sz="4" w:space="0" w:color="auto"/>
              <w:right w:val="single" w:sz="4" w:space="0" w:color="auto"/>
            </w:tcBorders>
            <w:hideMark/>
          </w:tcPr>
          <w:p w14:paraId="4903D9A2" w14:textId="77777777" w:rsidR="00C519F5" w:rsidRPr="00C519F5" w:rsidRDefault="00C519F5" w:rsidP="00C1090C">
            <w:pPr>
              <w:pStyle w:val="TAH"/>
              <w:rPr>
                <w:sz w:val="14"/>
                <w:szCs w:val="16"/>
              </w:rPr>
            </w:pPr>
            <w:r w:rsidRPr="00C519F5">
              <w:rPr>
                <w:sz w:val="14"/>
                <w:szCs w:val="16"/>
              </w:rPr>
              <w:t>Note</w:t>
            </w:r>
          </w:p>
        </w:tc>
        <w:tc>
          <w:tcPr>
            <w:tcW w:w="795" w:type="pct"/>
            <w:tcBorders>
              <w:top w:val="single" w:sz="4" w:space="0" w:color="auto"/>
              <w:left w:val="single" w:sz="4" w:space="0" w:color="auto"/>
              <w:bottom w:val="single" w:sz="4" w:space="0" w:color="auto"/>
              <w:right w:val="single" w:sz="4" w:space="0" w:color="auto"/>
            </w:tcBorders>
            <w:hideMark/>
          </w:tcPr>
          <w:p w14:paraId="33C105A7" w14:textId="77777777" w:rsidR="00C519F5" w:rsidRPr="00C519F5" w:rsidRDefault="00C519F5" w:rsidP="00C1090C">
            <w:pPr>
              <w:pStyle w:val="TAH"/>
              <w:rPr>
                <w:sz w:val="14"/>
                <w:szCs w:val="16"/>
              </w:rPr>
            </w:pPr>
            <w:r w:rsidRPr="00C519F5">
              <w:rPr>
                <w:sz w:val="14"/>
                <w:szCs w:val="16"/>
              </w:rPr>
              <w:t>Mandatory/Optional</w:t>
            </w:r>
          </w:p>
        </w:tc>
      </w:tr>
      <w:tr w:rsidR="00C519F5" w:rsidRPr="00C519F5" w14:paraId="0332B2B6" w14:textId="77777777" w:rsidTr="009A0465">
        <w:tc>
          <w:tcPr>
            <w:tcW w:w="589" w:type="pct"/>
            <w:tcBorders>
              <w:top w:val="single" w:sz="4" w:space="0" w:color="auto"/>
              <w:left w:val="single" w:sz="4" w:space="0" w:color="auto"/>
              <w:bottom w:val="single" w:sz="4" w:space="0" w:color="auto"/>
              <w:right w:val="single" w:sz="4" w:space="0" w:color="auto"/>
            </w:tcBorders>
            <w:hideMark/>
          </w:tcPr>
          <w:p w14:paraId="688B0A29" w14:textId="77777777" w:rsidR="00C519F5" w:rsidRPr="00C519F5" w:rsidRDefault="00C519F5" w:rsidP="00C1090C">
            <w:pPr>
              <w:pStyle w:val="TAL"/>
              <w:rPr>
                <w:rFonts w:eastAsia="MS Mincho"/>
                <w:sz w:val="14"/>
                <w:szCs w:val="16"/>
                <w:lang w:eastAsia="ja-JP"/>
              </w:rPr>
            </w:pPr>
            <w:r w:rsidRPr="00C519F5">
              <w:rPr>
                <w:rFonts w:eastAsia="MS Mincho"/>
                <w:sz w:val="14"/>
                <w:szCs w:val="16"/>
                <w:lang w:eastAsia="ja-JP"/>
              </w:rPr>
              <w:t>The network cannot schedule a PDSCH with TBS larger than 1000 bits for Cat. M1 UEs</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3911AEBF" w14:textId="77777777" w:rsidR="00C519F5" w:rsidRPr="00C519F5" w:rsidRDefault="00C519F5" w:rsidP="00C1090C">
            <w:pPr>
              <w:pStyle w:val="TAL"/>
              <w:rPr>
                <w:sz w:val="14"/>
                <w:szCs w:val="16"/>
                <w:lang w:eastAsia="ja-JP"/>
              </w:rPr>
            </w:pPr>
            <w:r w:rsidRPr="00C519F5">
              <w:rPr>
                <w:sz w:val="14"/>
                <w:szCs w:val="16"/>
                <w:lang w:eastAsia="ja-JP"/>
              </w:rPr>
              <w:t>Per UE</w:t>
            </w:r>
          </w:p>
        </w:tc>
        <w:tc>
          <w:tcPr>
            <w:tcW w:w="597" w:type="pct"/>
            <w:tcBorders>
              <w:top w:val="single" w:sz="4" w:space="0" w:color="auto"/>
              <w:left w:val="single" w:sz="4" w:space="0" w:color="auto"/>
              <w:bottom w:val="single" w:sz="4" w:space="0" w:color="auto"/>
              <w:right w:val="single" w:sz="4" w:space="0" w:color="auto"/>
            </w:tcBorders>
            <w:hideMark/>
          </w:tcPr>
          <w:p w14:paraId="7669A5C8" w14:textId="77777777" w:rsidR="00C519F5" w:rsidRPr="00C519F5" w:rsidRDefault="00C519F5" w:rsidP="00C1090C">
            <w:pPr>
              <w:pStyle w:val="TAL"/>
              <w:rPr>
                <w:sz w:val="14"/>
                <w:szCs w:val="16"/>
                <w:lang w:eastAsia="ja-JP"/>
              </w:rPr>
            </w:pPr>
            <w:r w:rsidRPr="00C519F5">
              <w:rPr>
                <w:rFonts w:eastAsia="MS Mincho"/>
                <w:sz w:val="14"/>
                <w:szCs w:val="16"/>
                <w:lang w:eastAsia="ja-JP"/>
              </w:rPr>
              <w:t>FDD only</w:t>
            </w:r>
          </w:p>
        </w:tc>
        <w:tc>
          <w:tcPr>
            <w:tcW w:w="581" w:type="pct"/>
            <w:tcBorders>
              <w:top w:val="single" w:sz="4" w:space="0" w:color="auto"/>
              <w:left w:val="single" w:sz="4" w:space="0" w:color="auto"/>
              <w:bottom w:val="single" w:sz="4" w:space="0" w:color="auto"/>
              <w:right w:val="single" w:sz="4" w:space="0" w:color="auto"/>
            </w:tcBorders>
            <w:hideMark/>
          </w:tcPr>
          <w:p w14:paraId="4E09E609" w14:textId="77777777" w:rsidR="00C519F5" w:rsidRPr="00C519F5" w:rsidRDefault="00C519F5" w:rsidP="00C1090C">
            <w:pPr>
              <w:pStyle w:val="TAL"/>
              <w:rPr>
                <w:sz w:val="14"/>
                <w:szCs w:val="16"/>
                <w:lang w:eastAsia="ja-JP"/>
              </w:rPr>
            </w:pPr>
            <w:r w:rsidRPr="00C519F5">
              <w:rPr>
                <w:rFonts w:eastAsia="MS Mincho"/>
                <w:sz w:val="14"/>
                <w:szCs w:val="16"/>
                <w:lang w:eastAsia="ja-JP"/>
              </w:rPr>
              <w:t>N/A</w:t>
            </w:r>
          </w:p>
        </w:tc>
        <w:tc>
          <w:tcPr>
            <w:tcW w:w="1906" w:type="pct"/>
            <w:tcBorders>
              <w:top w:val="single" w:sz="4" w:space="0" w:color="auto"/>
              <w:left w:val="single" w:sz="4" w:space="0" w:color="auto"/>
              <w:bottom w:val="single" w:sz="4" w:space="0" w:color="auto"/>
              <w:right w:val="single" w:sz="4" w:space="0" w:color="auto"/>
            </w:tcBorders>
          </w:tcPr>
          <w:p w14:paraId="6CCAD530" w14:textId="77777777" w:rsidR="00C519F5" w:rsidRPr="00C519F5" w:rsidRDefault="00C519F5" w:rsidP="00C1090C">
            <w:pPr>
              <w:pStyle w:val="TAL"/>
              <w:rPr>
                <w:sz w:val="14"/>
                <w:szCs w:val="16"/>
              </w:rPr>
            </w:pPr>
          </w:p>
        </w:tc>
        <w:tc>
          <w:tcPr>
            <w:tcW w:w="795" w:type="pct"/>
            <w:tcBorders>
              <w:top w:val="single" w:sz="4" w:space="0" w:color="auto"/>
              <w:left w:val="single" w:sz="4" w:space="0" w:color="auto"/>
              <w:bottom w:val="single" w:sz="4" w:space="0" w:color="auto"/>
              <w:right w:val="single" w:sz="4" w:space="0" w:color="auto"/>
            </w:tcBorders>
            <w:hideMark/>
          </w:tcPr>
          <w:p w14:paraId="3C617E2F" w14:textId="77777777" w:rsidR="00C519F5" w:rsidRPr="00C519F5" w:rsidRDefault="00C519F5" w:rsidP="00C1090C">
            <w:pPr>
              <w:pStyle w:val="TAL"/>
              <w:rPr>
                <w:sz w:val="14"/>
                <w:szCs w:val="16"/>
                <w:lang w:eastAsia="ja-JP"/>
              </w:rPr>
            </w:pPr>
            <w:r w:rsidRPr="00C519F5">
              <w:rPr>
                <w:rFonts w:eastAsia="MS Mincho"/>
                <w:sz w:val="14"/>
                <w:szCs w:val="16"/>
                <w:lang w:eastAsia="ja-JP"/>
              </w:rPr>
              <w:t>Optional with capability signaling</w:t>
            </w:r>
          </w:p>
        </w:tc>
      </w:tr>
    </w:tbl>
    <w:p w14:paraId="164D4902" w14:textId="30F7EBDF" w:rsidR="00C005E4" w:rsidRDefault="00C005E4" w:rsidP="00C005E4"/>
    <w:p w14:paraId="32209EE8" w14:textId="4D73699B" w:rsidR="00066962" w:rsidRDefault="00066962" w:rsidP="00066962">
      <w:pPr>
        <w:pStyle w:val="BodyText"/>
        <w:rPr>
          <w:rFonts w:ascii="Times New Roman" w:hAnsi="Times New Roman"/>
        </w:rPr>
      </w:pPr>
      <w:r w:rsidRPr="00830DBD">
        <w:rPr>
          <w:rFonts w:ascii="Times New Roman" w:hAnsi="Times New Roman"/>
        </w:rPr>
        <w:t xml:space="preserve">For the above UE feature </w:t>
      </w:r>
      <w:r w:rsidR="00C82628">
        <w:rPr>
          <w:rFonts w:ascii="Times New Roman" w:hAnsi="Times New Roman"/>
        </w:rPr>
        <w:t xml:space="preserve">list </w:t>
      </w:r>
      <w:r w:rsidRPr="00830DBD">
        <w:rPr>
          <w:rFonts w:ascii="Times New Roman" w:hAnsi="Times New Roman"/>
        </w:rPr>
        <w:t xml:space="preserve">on the support of a maximum DL TBS of 1736 bits for HD-FDD UEs in CE Mode A, we have the following </w:t>
      </w:r>
      <w:r w:rsidR="00CC7311" w:rsidRPr="00830DBD">
        <w:rPr>
          <w:rFonts w:ascii="Times New Roman" w:hAnsi="Times New Roman"/>
        </w:rPr>
        <w:t>proposal</w:t>
      </w:r>
      <w:r w:rsidRPr="00830DBD">
        <w:rPr>
          <w:rFonts w:ascii="Times New Roman" w:hAnsi="Times New Roman"/>
        </w:rPr>
        <w:t>:</w:t>
      </w:r>
    </w:p>
    <w:p w14:paraId="2F2842E1" w14:textId="2A3FF6EC" w:rsidR="00B8392B" w:rsidRDefault="00B8392B" w:rsidP="00B8392B">
      <w:pPr>
        <w:pStyle w:val="Observation"/>
        <w:ind w:left="1701" w:hanging="1701"/>
      </w:pPr>
      <w:bookmarkStart w:id="20" w:name="_Toc90045105"/>
      <w:r>
        <w:t xml:space="preserve">To define the “Type” of the Rel-17 features built under a L1 Terrestrial context, we can follow the Moderator’s suggestion of defining the </w:t>
      </w:r>
      <w:r w:rsidRPr="00A80DBC">
        <w:t xml:space="preserve">“Type of FGs 1-3 and 1-4 </w:t>
      </w:r>
      <w:r>
        <w:t>(i.e., LTE-MTC features)</w:t>
      </w:r>
      <w:r w:rsidRPr="00A80DBC">
        <w:t xml:space="preserve"> “per UE” and</w:t>
      </w:r>
      <w:r w:rsidR="007C1E45">
        <w:t xml:space="preserve"> leaving</w:t>
      </w:r>
      <w:r>
        <w:t xml:space="preserve"> </w:t>
      </w:r>
      <w:r w:rsidRPr="00A80DBC">
        <w:t xml:space="preserve">the Type of FGs 1-1 and 1-2 </w:t>
      </w:r>
      <w:r>
        <w:t xml:space="preserve">(i.e., NB-IoT features) </w:t>
      </w:r>
      <w:r w:rsidRPr="00A80DBC">
        <w:t>up to RAN2/RAN4”.</w:t>
      </w:r>
      <w:bookmarkEnd w:id="20"/>
    </w:p>
    <w:p w14:paraId="63E1D639" w14:textId="1BB90502" w:rsidR="00B8392B" w:rsidRPr="00B8392B" w:rsidRDefault="00B8392B" w:rsidP="00066962">
      <w:pPr>
        <w:pStyle w:val="Proposal"/>
      </w:pPr>
      <w:bookmarkStart w:id="21" w:name="_Toc90045110"/>
      <w:r>
        <w:t>For the max DL TBS of 1736 bits for HD-FDD UEs (i.e., FG 1-4 in the “UE Feature list”), t</w:t>
      </w:r>
      <w:r w:rsidRPr="007A07C8">
        <w:t>he column “Type” is defined “Per UE”</w:t>
      </w:r>
      <w:r>
        <w:t>.</w:t>
      </w:r>
      <w:bookmarkEnd w:id="21"/>
    </w:p>
    <w:p w14:paraId="5300F849" w14:textId="11048A70" w:rsidR="00C01F33" w:rsidRPr="00CE0424" w:rsidRDefault="006B22C9" w:rsidP="00DF5DE2">
      <w:pPr>
        <w:pStyle w:val="Heading1"/>
      </w:pPr>
      <w:r>
        <w:t>6</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22" w:name="_In-sequence_SDU_delivery"/>
    <w:bookmarkEnd w:id="22"/>
    <w:p w14:paraId="2704225B" w14:textId="624E92FA" w:rsidR="004328AE" w:rsidRDefault="000C11D5">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90045091" w:history="1">
        <w:r w:rsidR="004328AE" w:rsidRPr="00577361">
          <w:rPr>
            <w:rStyle w:val="Hyperlink"/>
            <w:noProof/>
          </w:rPr>
          <w:t>Observation 1</w:t>
        </w:r>
        <w:r w:rsidR="004328AE">
          <w:rPr>
            <w:rFonts w:asciiTheme="minorHAnsi" w:eastAsiaTheme="minorEastAsia" w:hAnsiTheme="minorHAnsi" w:cstheme="minorBidi"/>
            <w:b w:val="0"/>
            <w:noProof/>
            <w:sz w:val="22"/>
            <w:szCs w:val="22"/>
            <w:lang w:val="sv-SE" w:eastAsia="sv-SE"/>
          </w:rPr>
          <w:tab/>
        </w:r>
        <w:r w:rsidR="004328AE" w:rsidRPr="00577361">
          <w:rPr>
            <w:rStyle w:val="Hyperlink"/>
            <w:noProof/>
          </w:rPr>
          <w:t>During RAN1# 107-e, it was discussed whether the “Type” of the Rel-17 features should be defined “Per UE” or “Per Band”.</w:t>
        </w:r>
      </w:hyperlink>
    </w:p>
    <w:p w14:paraId="64A6B2C8" w14:textId="14E74A23" w:rsidR="004328AE" w:rsidRDefault="00EA2DA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045092" w:history="1">
        <w:r w:rsidR="004328AE" w:rsidRPr="00577361">
          <w:rPr>
            <w:rStyle w:val="Hyperlink"/>
            <w:noProof/>
          </w:rPr>
          <w:t>Observation 2</w:t>
        </w:r>
        <w:r w:rsidR="004328AE">
          <w:rPr>
            <w:rFonts w:asciiTheme="minorHAnsi" w:eastAsiaTheme="minorEastAsia" w:hAnsiTheme="minorHAnsi" w:cstheme="minorBidi"/>
            <w:b w:val="0"/>
            <w:noProof/>
            <w:sz w:val="22"/>
            <w:szCs w:val="22"/>
            <w:lang w:val="sv-SE" w:eastAsia="sv-SE"/>
          </w:rPr>
          <w:tab/>
        </w:r>
        <w:r w:rsidR="004328AE" w:rsidRPr="00577361">
          <w:rPr>
            <w:rStyle w:val="Hyperlink"/>
            <w:noProof/>
          </w:rPr>
          <w:t>In our view, as for legacy features, the Type of Rel-17 features built under a L1 Terrestrial context should in principle be defined “Per UE”.</w:t>
        </w:r>
      </w:hyperlink>
    </w:p>
    <w:p w14:paraId="6A25858F" w14:textId="7D301CEA" w:rsidR="004328AE" w:rsidRDefault="00EA2DA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045093" w:history="1">
        <w:r w:rsidR="004328AE" w:rsidRPr="00577361">
          <w:rPr>
            <w:rStyle w:val="Hyperlink"/>
            <w:noProof/>
          </w:rPr>
          <w:t>Observation 3</w:t>
        </w:r>
        <w:r w:rsidR="004328AE">
          <w:rPr>
            <w:rFonts w:asciiTheme="minorHAnsi" w:eastAsiaTheme="minorEastAsia" w:hAnsiTheme="minorHAnsi" w:cstheme="minorBidi"/>
            <w:b w:val="0"/>
            <w:noProof/>
            <w:sz w:val="22"/>
            <w:szCs w:val="22"/>
            <w:lang w:val="sv-SE" w:eastAsia="sv-SE"/>
          </w:rPr>
          <w:tab/>
        </w:r>
        <w:r w:rsidR="004328AE" w:rsidRPr="00577361">
          <w:rPr>
            <w:rStyle w:val="Hyperlink"/>
            <w:noProof/>
          </w:rPr>
          <w:t>The motivation for defining the “Type” as “Per Band” has been around “NTN” and an “RF impact (Tx and Rx EVM)”. However, such a motivation is outside the RAN1 expertise.</w:t>
        </w:r>
      </w:hyperlink>
    </w:p>
    <w:p w14:paraId="3C81B629" w14:textId="52E1C296" w:rsidR="004328AE" w:rsidRDefault="00EA2DA3" w:rsidP="004328AE">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90045094" w:history="1">
        <w:r w:rsidR="004328AE" w:rsidRPr="00577361">
          <w:rPr>
            <w:rStyle w:val="Hyperlink"/>
            <w:rFonts w:ascii="Symbol" w:hAnsi="Symbol"/>
            <w:noProof/>
          </w:rPr>
          <w:t></w:t>
        </w:r>
        <w:r w:rsidR="004328AE">
          <w:rPr>
            <w:rFonts w:asciiTheme="minorHAnsi" w:eastAsiaTheme="minorEastAsia" w:hAnsiTheme="minorHAnsi" w:cstheme="minorBidi"/>
            <w:b w:val="0"/>
            <w:noProof/>
            <w:sz w:val="22"/>
            <w:szCs w:val="22"/>
            <w:lang w:val="sv-SE" w:eastAsia="sv-SE"/>
          </w:rPr>
          <w:tab/>
        </w:r>
        <w:r w:rsidR="004328AE" w:rsidRPr="00577361">
          <w:rPr>
            <w:rStyle w:val="Hyperlink"/>
            <w:noProof/>
          </w:rPr>
          <w:t>Moreover, not even “NTN IoT” has defined the “Type” as “Per Band”, since in R1-2112900 there seems to be an FFS on it: “</w:t>
        </w:r>
        <w:r w:rsidR="004328AE" w:rsidRPr="00577361">
          <w:rPr>
            <w:rStyle w:val="Hyperlink"/>
            <w:noProof/>
            <w:highlight w:val="yellow"/>
          </w:rPr>
          <w:t>[per UE/per band]</w:t>
        </w:r>
        <w:r w:rsidR="004328AE" w:rsidRPr="00577361">
          <w:rPr>
            <w:rStyle w:val="Hyperlink"/>
            <w:noProof/>
          </w:rPr>
          <w:t>”</w:t>
        </w:r>
      </w:hyperlink>
    </w:p>
    <w:p w14:paraId="57361C5C" w14:textId="33414049" w:rsidR="004328AE" w:rsidRDefault="00EA2DA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045095" w:history="1">
        <w:r w:rsidR="004328AE" w:rsidRPr="00577361">
          <w:rPr>
            <w:rStyle w:val="Hyperlink"/>
            <w:noProof/>
          </w:rPr>
          <w:t>Observation 4</w:t>
        </w:r>
        <w:r w:rsidR="004328AE">
          <w:rPr>
            <w:rFonts w:asciiTheme="minorHAnsi" w:eastAsiaTheme="minorEastAsia" w:hAnsiTheme="minorHAnsi" w:cstheme="minorBidi"/>
            <w:b w:val="0"/>
            <w:noProof/>
            <w:sz w:val="22"/>
            <w:szCs w:val="22"/>
            <w:lang w:val="sv-SE" w:eastAsia="sv-SE"/>
          </w:rPr>
          <w:tab/>
        </w:r>
        <w:r w:rsidR="004328AE" w:rsidRPr="00577361">
          <w:rPr>
            <w:rStyle w:val="Hyperlink"/>
            <w:noProof/>
          </w:rPr>
          <w:t>RAN1 that designed the Rel-17 features under a “L1 Terrestrial” context does not have the expertise to acknowledge or reject motivations around “NTN” and “RF impacts”, thus we can follow the Moderator’s suggestion of defining the “Type of FGs 1-3 and 1-4 (i.e., LTE-MTC features) “per UE” and leaving the Type of FGs 1-1 and 1-2 (i.e., NB-IoT features) up to RAN2/RAN4”.</w:t>
        </w:r>
      </w:hyperlink>
    </w:p>
    <w:p w14:paraId="51EACA9D" w14:textId="220301F4" w:rsidR="004328AE" w:rsidRDefault="00EA2DA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045096" w:history="1">
        <w:r w:rsidR="004328AE" w:rsidRPr="00577361">
          <w:rPr>
            <w:rStyle w:val="Hyperlink"/>
            <w:noProof/>
          </w:rPr>
          <w:t>Observation 5</w:t>
        </w:r>
        <w:r w:rsidR="004328AE">
          <w:rPr>
            <w:rFonts w:asciiTheme="minorHAnsi" w:eastAsiaTheme="minorEastAsia" w:hAnsiTheme="minorHAnsi" w:cstheme="minorBidi"/>
            <w:b w:val="0"/>
            <w:noProof/>
            <w:sz w:val="22"/>
            <w:szCs w:val="22"/>
            <w:lang w:val="sv-SE" w:eastAsia="sv-SE"/>
          </w:rPr>
          <w:tab/>
        </w:r>
        <w:r w:rsidR="004328AE" w:rsidRPr="00577361">
          <w:rPr>
            <w:rStyle w:val="Hyperlink"/>
            <w:noProof/>
          </w:rPr>
          <w:t>For the “Need of FDD/TDD differentiation,” the support of 16-QAM has been developed under the context of FDD. Supporting 16-QAM for TDD has been found to result in specification impacts (See R1-2112363), and therefore 16-QAM should only be supported for FDD operation.</w:t>
        </w:r>
      </w:hyperlink>
    </w:p>
    <w:p w14:paraId="376BD708" w14:textId="7AA0059B" w:rsidR="004328AE" w:rsidRDefault="00EA2DA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045097" w:history="1">
        <w:r w:rsidR="004328AE" w:rsidRPr="00577361">
          <w:rPr>
            <w:rStyle w:val="Hyperlink"/>
            <w:noProof/>
          </w:rPr>
          <w:t>Observation 6</w:t>
        </w:r>
        <w:r w:rsidR="004328AE">
          <w:rPr>
            <w:rFonts w:asciiTheme="minorHAnsi" w:eastAsiaTheme="minorEastAsia" w:hAnsiTheme="minorHAnsi" w:cstheme="minorBidi"/>
            <w:b w:val="0"/>
            <w:noProof/>
            <w:sz w:val="22"/>
            <w:szCs w:val="22"/>
            <w:lang w:val="sv-SE" w:eastAsia="sv-SE"/>
          </w:rPr>
          <w:tab/>
        </w:r>
        <w:r w:rsidR="004328AE" w:rsidRPr="00577361">
          <w:rPr>
            <w:rStyle w:val="Hyperlink"/>
            <w:noProof/>
          </w:rPr>
          <w:t>To define the “Type” of the Rel-17 features built under a L1 Terrestrial context, we can follow the Moderator’s suggestion of defining the “Type of FGs 1-3 and 1-4 (i.e., LTE-MTC features) “per UE” and leaving the Type of FGs 1-1 and 1-2 (i.e., NB-IoT features) up to RAN2/RAN4”.</w:t>
        </w:r>
      </w:hyperlink>
    </w:p>
    <w:p w14:paraId="3F251A42" w14:textId="13205CD3" w:rsidR="004328AE" w:rsidRDefault="00EA2DA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045098" w:history="1">
        <w:r w:rsidR="004328AE" w:rsidRPr="00577361">
          <w:rPr>
            <w:rStyle w:val="Hyperlink"/>
            <w:noProof/>
          </w:rPr>
          <w:t>Observation 7</w:t>
        </w:r>
        <w:r w:rsidR="004328AE">
          <w:rPr>
            <w:rFonts w:asciiTheme="minorHAnsi" w:eastAsiaTheme="minorEastAsia" w:hAnsiTheme="minorHAnsi" w:cstheme="minorBidi"/>
            <w:b w:val="0"/>
            <w:noProof/>
            <w:sz w:val="22"/>
            <w:szCs w:val="22"/>
            <w:lang w:val="sv-SE" w:eastAsia="sv-SE"/>
          </w:rPr>
          <w:tab/>
        </w:r>
        <w:r w:rsidR="004328AE" w:rsidRPr="00577361">
          <w:rPr>
            <w:rStyle w:val="Hyperlink"/>
            <w:noProof/>
          </w:rPr>
          <w:t xml:space="preserve">The last-minute comment on “Proposed conclusion 3-3” had to do with having deleted the following </w:t>
        </w:r>
        <w:r w:rsidR="004328AE" w:rsidRPr="00BA6E8B">
          <w:rPr>
            <w:rStyle w:val="Hyperlink"/>
            <w:noProof/>
            <w:color w:val="FF0000"/>
          </w:rPr>
          <w:t>text in red</w:t>
        </w:r>
        <w:r w:rsidR="004328AE" w:rsidRPr="00577361">
          <w:rPr>
            <w:rStyle w:val="Hyperlink"/>
            <w:noProof/>
          </w:rPr>
          <w:t>: “</w:t>
        </w:r>
        <w:r w:rsidR="004328AE" w:rsidRPr="00577361">
          <w:rPr>
            <w:rStyle w:val="Hyperlink"/>
            <w:i/>
            <w:iCs/>
            <w:noProof/>
          </w:rPr>
          <w:t>except for the simultaneous configuration</w:t>
        </w:r>
        <w:r w:rsidR="00FC010A">
          <w:rPr>
            <w:rStyle w:val="Hyperlink"/>
            <w:i/>
            <w:iCs/>
            <w:noProof/>
          </w:rPr>
          <w:t xml:space="preserve"> with</w:t>
        </w:r>
        <w:r w:rsidR="004328AE" w:rsidRPr="00577361">
          <w:rPr>
            <w:rStyle w:val="Hyperlink"/>
            <w:i/>
            <w:iCs/>
            <w:noProof/>
          </w:rPr>
          <w:t xml:space="preserve"> … </w:t>
        </w:r>
        <w:r w:rsidR="004328AE" w:rsidRPr="00EA2DA3">
          <w:rPr>
            <w:rStyle w:val="Hyperlink"/>
            <w:i/>
            <w:iCs/>
            <w:noProof/>
            <w:color w:val="FF0000"/>
          </w:rPr>
          <w:t>and</w:t>
        </w:r>
        <w:r w:rsidR="004328AE" w:rsidRPr="00577361">
          <w:rPr>
            <w:rStyle w:val="Hyperlink"/>
            <w:i/>
            <w:iCs/>
            <w:noProof/>
          </w:rPr>
          <w:t xml:space="preserve"> </w:t>
        </w:r>
        <w:r w:rsidR="004328AE" w:rsidRPr="00BA6E8B">
          <w:rPr>
            <w:rStyle w:val="Hyperlink"/>
            <w:i/>
            <w:iCs/>
            <w:noProof/>
            <w:color w:val="FF0000"/>
          </w:rPr>
          <w:t>Rel-14 dynamic HARQ-ACK delay</w:t>
        </w:r>
        <w:r w:rsidR="004328AE" w:rsidRPr="00577361">
          <w:rPr>
            <w:rStyle w:val="Hyperlink"/>
            <w:noProof/>
          </w:rPr>
          <w:t>”.</w:t>
        </w:r>
      </w:hyperlink>
    </w:p>
    <w:p w14:paraId="0D6D3357" w14:textId="2A78BBCD" w:rsidR="004328AE" w:rsidRDefault="00EA2DA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045099" w:history="1">
        <w:r w:rsidR="004328AE" w:rsidRPr="00577361">
          <w:rPr>
            <w:rStyle w:val="Hyperlink"/>
            <w:noProof/>
          </w:rPr>
          <w:t>Observation 8</w:t>
        </w:r>
        <w:r w:rsidR="004328AE">
          <w:rPr>
            <w:rFonts w:asciiTheme="minorHAnsi" w:eastAsiaTheme="minorEastAsia" w:hAnsiTheme="minorHAnsi" w:cstheme="minorBidi"/>
            <w:b w:val="0"/>
            <w:noProof/>
            <w:sz w:val="22"/>
            <w:szCs w:val="22"/>
            <w:lang w:val="sv-SE" w:eastAsia="sv-SE"/>
          </w:rPr>
          <w:tab/>
        </w:r>
        <w:r w:rsidR="004328AE" w:rsidRPr="00577361">
          <w:rPr>
            <w:rStyle w:val="Hyperlink"/>
            <w:noProof/>
          </w:rPr>
          <w:t>The reason for having deleted “</w:t>
        </w:r>
        <w:r w:rsidR="004328AE" w:rsidRPr="00BA6E8B">
          <w:rPr>
            <w:rStyle w:val="Hyperlink"/>
            <w:noProof/>
            <w:color w:val="FF0000"/>
          </w:rPr>
          <w:t>Rel-14 dynamic HARQ-ACK delay</w:t>
        </w:r>
        <w:r w:rsidR="004328AE" w:rsidRPr="00577361">
          <w:rPr>
            <w:rStyle w:val="Hyperlink"/>
            <w:noProof/>
          </w:rPr>
          <w:t xml:space="preserve">” is the broadness of the term in </w:t>
        </w:r>
        <w:r w:rsidR="004328AE" w:rsidRPr="00BA6E8B">
          <w:rPr>
            <w:rStyle w:val="Hyperlink"/>
            <w:noProof/>
            <w:color w:val="FF0000"/>
          </w:rPr>
          <w:t>red</w:t>
        </w:r>
        <w:r w:rsidR="004328AE" w:rsidRPr="00577361">
          <w:rPr>
            <w:rStyle w:val="Hyperlink"/>
            <w:noProof/>
          </w:rPr>
          <w:t xml:space="preserve"> which encompasses functionalities that are not incompatible with the 14 HARQ processes feature, for example the scheduling possibility to delay HARQ-ACK &gt; 4 which is obviously not incompatible.</w:t>
        </w:r>
      </w:hyperlink>
    </w:p>
    <w:p w14:paraId="31575085" w14:textId="6F75E29F" w:rsidR="004328AE" w:rsidRDefault="00EA2DA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045100" w:history="1">
        <w:r w:rsidR="004328AE" w:rsidRPr="00577361">
          <w:rPr>
            <w:rStyle w:val="Hyperlink"/>
            <w:noProof/>
          </w:rPr>
          <w:t>Observation 9</w:t>
        </w:r>
        <w:r w:rsidR="004328AE">
          <w:rPr>
            <w:rFonts w:asciiTheme="minorHAnsi" w:eastAsiaTheme="minorEastAsia" w:hAnsiTheme="minorHAnsi" w:cstheme="minorBidi"/>
            <w:b w:val="0"/>
            <w:noProof/>
            <w:sz w:val="22"/>
            <w:szCs w:val="22"/>
            <w:lang w:val="sv-SE" w:eastAsia="sv-SE"/>
          </w:rPr>
          <w:tab/>
        </w:r>
        <w:r w:rsidR="004328AE" w:rsidRPr="00577361">
          <w:rPr>
            <w:rStyle w:val="Hyperlink"/>
            <w:noProof/>
          </w:rPr>
          <w:t>It seems that the last-minute concern had to do with having interpreted that “Rel-14 dynamic HARQ-ACK delay” equals to “HARQ-ACK delay field” but it is not the same, since the wording “Rel-14 dynamic HARQ-ACK delay” can be seen as encompassing more than just what is provided by a DCI field.</w:t>
        </w:r>
      </w:hyperlink>
    </w:p>
    <w:p w14:paraId="7DB8D5D4" w14:textId="1852AE39" w:rsidR="004328AE" w:rsidRDefault="00EA2DA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045101" w:history="1">
        <w:r w:rsidR="004328AE" w:rsidRPr="00577361">
          <w:rPr>
            <w:rStyle w:val="Hyperlink"/>
            <w:noProof/>
          </w:rPr>
          <w:t>Observation 10</w:t>
        </w:r>
        <w:r w:rsidR="004328AE">
          <w:rPr>
            <w:rFonts w:asciiTheme="minorHAnsi" w:eastAsiaTheme="minorEastAsia" w:hAnsiTheme="minorHAnsi" w:cstheme="minorBidi"/>
            <w:b w:val="0"/>
            <w:noProof/>
            <w:sz w:val="22"/>
            <w:szCs w:val="22"/>
            <w:lang w:val="sv-SE" w:eastAsia="sv-SE"/>
          </w:rPr>
          <w:tab/>
        </w:r>
        <w:r w:rsidR="004328AE" w:rsidRPr="00577361">
          <w:rPr>
            <w:rStyle w:val="Hyperlink"/>
            <w:noProof/>
          </w:rPr>
          <w:t>By having deleted “Rel-14 dynamic HARQ-ACK delay”, there is no intention of performing a dynamic switching between legacy “HARQ-ACK delays” and “Rel-17 HARQ-ACK delays”. Indeed, from TS 36.212, for the 14 HARQ processes feature the HARQ-ACK delays are only possible to be provided through the “PDSCH scheduling delay and HARQ-ACK delay for 14 HARQ” DCI field.</w:t>
        </w:r>
      </w:hyperlink>
    </w:p>
    <w:p w14:paraId="36F02C37" w14:textId="0E1DE3B9" w:rsidR="004328AE" w:rsidRDefault="00EA2DA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045102" w:history="1">
        <w:r w:rsidR="004328AE" w:rsidRPr="00577361">
          <w:rPr>
            <w:rStyle w:val="Hyperlink"/>
            <w:noProof/>
          </w:rPr>
          <w:t>Observation 11</w:t>
        </w:r>
        <w:r w:rsidR="004328AE">
          <w:rPr>
            <w:rFonts w:asciiTheme="minorHAnsi" w:eastAsiaTheme="minorEastAsia" w:hAnsiTheme="minorHAnsi" w:cstheme="minorBidi"/>
            <w:b w:val="0"/>
            <w:noProof/>
            <w:sz w:val="22"/>
            <w:szCs w:val="22"/>
            <w:lang w:val="sv-SE" w:eastAsia="sv-SE"/>
          </w:rPr>
          <w:tab/>
        </w:r>
        <w:r w:rsidR="004328AE" w:rsidRPr="00577361">
          <w:rPr>
            <w:rStyle w:val="Hyperlink"/>
            <w:noProof/>
          </w:rPr>
          <w:t>Based on the clarification provided in the previous observations, it should be clear that we can proceed with “Proposed conclusion 3-3” from RAN1# 107-e.</w:t>
        </w:r>
      </w:hyperlink>
    </w:p>
    <w:p w14:paraId="36DCF9BF" w14:textId="680CD293" w:rsidR="004328AE" w:rsidRDefault="00EA2DA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045103" w:history="1">
        <w:r w:rsidR="004328AE" w:rsidRPr="00577361">
          <w:rPr>
            <w:rStyle w:val="Hyperlink"/>
            <w:noProof/>
          </w:rPr>
          <w:t>Observation 12</w:t>
        </w:r>
        <w:r w:rsidR="004328AE">
          <w:rPr>
            <w:rFonts w:asciiTheme="minorHAnsi" w:eastAsiaTheme="minorEastAsia" w:hAnsiTheme="minorHAnsi" w:cstheme="minorBidi"/>
            <w:b w:val="0"/>
            <w:noProof/>
            <w:sz w:val="22"/>
            <w:szCs w:val="22"/>
            <w:lang w:val="sv-SE" w:eastAsia="sv-SE"/>
          </w:rPr>
          <w:tab/>
        </w:r>
        <w:r w:rsidR="004328AE" w:rsidRPr="00577361">
          <w:rPr>
            <w:rStyle w:val="Hyperlink"/>
            <w:noProof/>
          </w:rPr>
          <w:t>If after the provided explanations there were a request to make explicit that there is no intention of performing a dynamic switching between legacy “HARQ-ACK delays” and “Rel-17 HARQ-ACK delays”, then we can write a second conclusion as below (although it seems unnecessary based on w</w:t>
        </w:r>
        <w:r w:rsidR="000C7E43">
          <w:rPr>
            <w:rStyle w:val="Hyperlink"/>
            <w:noProof/>
          </w:rPr>
          <w:t>hat</w:t>
        </w:r>
        <w:r w:rsidR="004328AE" w:rsidRPr="00577361">
          <w:rPr>
            <w:rStyle w:val="Hyperlink"/>
            <w:noProof/>
          </w:rPr>
          <w:t xml:space="preserve"> is already captured in TS 36.212):</w:t>
        </w:r>
      </w:hyperlink>
    </w:p>
    <w:p w14:paraId="5665DDF7" w14:textId="2EE605AB" w:rsidR="004328AE" w:rsidRDefault="00EA2DA3" w:rsidP="00BA6E8B">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90045104" w:history="1">
        <w:r w:rsidR="004328AE" w:rsidRPr="00577361">
          <w:rPr>
            <w:rStyle w:val="Hyperlink"/>
            <w:rFonts w:ascii="Wingdings" w:hAnsi="Wingdings"/>
            <w:noProof/>
          </w:rPr>
          <w:t></w:t>
        </w:r>
        <w:r w:rsidR="004328AE">
          <w:rPr>
            <w:rFonts w:asciiTheme="minorHAnsi" w:eastAsiaTheme="minorEastAsia" w:hAnsiTheme="minorHAnsi" w:cstheme="minorBidi"/>
            <w:b w:val="0"/>
            <w:noProof/>
            <w:sz w:val="22"/>
            <w:szCs w:val="22"/>
            <w:lang w:val="sv-SE" w:eastAsia="sv-SE"/>
          </w:rPr>
          <w:tab/>
        </w:r>
        <w:r w:rsidR="004328AE" w:rsidRPr="00577361">
          <w:rPr>
            <w:rStyle w:val="Hyperlink"/>
            <w:noProof/>
          </w:rPr>
          <w:t>In Rel-17 for the 14 HARQ processes feature, the HARQ-ACK delays are only provided through the “PDSCH scheduling delay and HARQ-ACK delay for 14 HARQ” DCI field</w:t>
        </w:r>
      </w:hyperlink>
    </w:p>
    <w:p w14:paraId="1D0134CF" w14:textId="0DC88CE7" w:rsidR="004328AE" w:rsidRDefault="00EA2DA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045105" w:history="1">
        <w:r w:rsidR="004328AE" w:rsidRPr="00577361">
          <w:rPr>
            <w:rStyle w:val="Hyperlink"/>
            <w:noProof/>
          </w:rPr>
          <w:t>Observation 13</w:t>
        </w:r>
        <w:r w:rsidR="004328AE">
          <w:rPr>
            <w:rFonts w:asciiTheme="minorHAnsi" w:eastAsiaTheme="minorEastAsia" w:hAnsiTheme="minorHAnsi" w:cstheme="minorBidi"/>
            <w:b w:val="0"/>
            <w:noProof/>
            <w:sz w:val="22"/>
            <w:szCs w:val="22"/>
            <w:lang w:val="sv-SE" w:eastAsia="sv-SE"/>
          </w:rPr>
          <w:tab/>
        </w:r>
        <w:r w:rsidR="004328AE" w:rsidRPr="00577361">
          <w:rPr>
            <w:rStyle w:val="Hyperlink"/>
            <w:noProof/>
          </w:rPr>
          <w:t>To define the “Type” of the Rel-17 features built under a L1 Terrestrial context, we can follow the Moderator’s suggestion of defining the “Type of FGs 1-3 and 1-4 (i.e., LTE-MTC features) “per UE” and leaving the Type of FGs 1-1 and 1-2 (i.e., NB-IoT features) up to RAN2/RAN4”.</w:t>
        </w:r>
      </w:hyperlink>
    </w:p>
    <w:p w14:paraId="1595D08F" w14:textId="5253A823"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12CE6FF3" w14:textId="1CA1A594" w:rsidR="004328AE" w:rsidRDefault="000C11D5">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0045106" w:history="1">
        <w:r w:rsidR="004328AE" w:rsidRPr="008F4AF3">
          <w:rPr>
            <w:rStyle w:val="Hyperlink"/>
            <w:noProof/>
          </w:rPr>
          <w:t>Proposal 1</w:t>
        </w:r>
        <w:r w:rsidR="004328AE">
          <w:rPr>
            <w:rFonts w:asciiTheme="minorHAnsi" w:eastAsiaTheme="minorEastAsia" w:hAnsiTheme="minorHAnsi" w:cstheme="minorBidi"/>
            <w:b w:val="0"/>
            <w:noProof/>
            <w:sz w:val="22"/>
            <w:szCs w:val="22"/>
            <w:lang w:val="sv-SE" w:eastAsia="sv-SE"/>
          </w:rPr>
          <w:tab/>
        </w:r>
        <w:r w:rsidR="004328AE" w:rsidRPr="008F4AF3">
          <w:rPr>
            <w:rStyle w:val="Hyperlink"/>
            <w:noProof/>
          </w:rPr>
          <w:t>For 16-QAM for unicast in UL and DL (i.e., FGs 1-1 and 1-2 in the “UE Feature list” respectively), whether the “Type” is to be defined “Per UE” or “Per Band” is up to RAN2/RAN4.</w:t>
        </w:r>
      </w:hyperlink>
    </w:p>
    <w:p w14:paraId="14A98091" w14:textId="1108C484" w:rsidR="004328AE" w:rsidRDefault="00EA2DA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045107" w:history="1">
        <w:r w:rsidR="004328AE" w:rsidRPr="008F4AF3">
          <w:rPr>
            <w:rStyle w:val="Hyperlink"/>
            <w:noProof/>
          </w:rPr>
          <w:t>Proposal 2</w:t>
        </w:r>
        <w:r w:rsidR="004328AE">
          <w:rPr>
            <w:rFonts w:asciiTheme="minorHAnsi" w:eastAsiaTheme="minorEastAsia" w:hAnsiTheme="minorHAnsi" w:cstheme="minorBidi"/>
            <w:b w:val="0"/>
            <w:noProof/>
            <w:sz w:val="22"/>
            <w:szCs w:val="22"/>
            <w:lang w:val="sv-SE" w:eastAsia="sv-SE"/>
          </w:rPr>
          <w:tab/>
        </w:r>
        <w:r w:rsidR="004328AE" w:rsidRPr="008F4AF3">
          <w:rPr>
            <w:rStyle w:val="Hyperlink"/>
            <w:noProof/>
          </w:rPr>
          <w:t>For 16-QAM for unicast in UL and DL: The column “Need of FDD/TDD differentiation” is filled-in as “FDD only”, whereas the column “Capability interpretation for mixture of FDD/TDD” is filled-in as non-applicable, that is “N/A”.</w:t>
        </w:r>
      </w:hyperlink>
    </w:p>
    <w:p w14:paraId="45B5F27F" w14:textId="6028E7D0" w:rsidR="004328AE" w:rsidRDefault="00EA2DA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045108" w:history="1">
        <w:r w:rsidR="004328AE" w:rsidRPr="008F4AF3">
          <w:rPr>
            <w:rStyle w:val="Hyperlink"/>
            <w:noProof/>
          </w:rPr>
          <w:t>Proposal 3</w:t>
        </w:r>
        <w:r w:rsidR="004328AE">
          <w:rPr>
            <w:rFonts w:asciiTheme="minorHAnsi" w:eastAsiaTheme="minorEastAsia" w:hAnsiTheme="minorHAnsi" w:cstheme="minorBidi"/>
            <w:b w:val="0"/>
            <w:noProof/>
            <w:sz w:val="22"/>
            <w:szCs w:val="22"/>
            <w:lang w:val="sv-SE" w:eastAsia="sv-SE"/>
          </w:rPr>
          <w:tab/>
        </w:r>
        <w:r w:rsidR="004328AE" w:rsidRPr="008F4AF3">
          <w:rPr>
            <w:rStyle w:val="Hyperlink"/>
            <w:noProof/>
          </w:rPr>
          <w:t>For 14 HARQ processes in DL for HD-FDD UEs (i.e., FG 1-3 in the “UE Feature list”), the column “Type” is defined “Per UE”.</w:t>
        </w:r>
      </w:hyperlink>
    </w:p>
    <w:p w14:paraId="7024D856" w14:textId="117C56BE" w:rsidR="004328AE" w:rsidRDefault="00EA2DA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045109" w:history="1">
        <w:r w:rsidR="004328AE" w:rsidRPr="008F4AF3">
          <w:rPr>
            <w:rStyle w:val="Hyperlink"/>
            <w:noProof/>
          </w:rPr>
          <w:t>Proposal 4</w:t>
        </w:r>
        <w:r w:rsidR="004328AE">
          <w:rPr>
            <w:rFonts w:asciiTheme="minorHAnsi" w:eastAsiaTheme="minorEastAsia" w:hAnsiTheme="minorHAnsi" w:cstheme="minorBidi"/>
            <w:b w:val="0"/>
            <w:noProof/>
            <w:sz w:val="22"/>
            <w:szCs w:val="22"/>
            <w:lang w:val="sv-SE" w:eastAsia="sv-SE"/>
          </w:rPr>
          <w:tab/>
        </w:r>
        <w:r w:rsidR="004328AE" w:rsidRPr="008F4AF3">
          <w:rPr>
            <w:rStyle w:val="Hyperlink"/>
            <w:noProof/>
          </w:rPr>
          <w:t>Conclusion: It is RAN1 assumption the 14 HARQ processes feature is compatible with all other eMTC features in connected-mode applicable for HD-FDD Cat. M1 UEs in CE mode A, except for the simultaneous configuration with Rel-16 Multi-TB scheduling, to be captured in the note column in FG 1-3.</w:t>
        </w:r>
      </w:hyperlink>
    </w:p>
    <w:p w14:paraId="508C5227" w14:textId="488641F8" w:rsidR="004328AE" w:rsidRDefault="00EA2DA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0045110" w:history="1">
        <w:r w:rsidR="004328AE" w:rsidRPr="008F4AF3">
          <w:rPr>
            <w:rStyle w:val="Hyperlink"/>
            <w:noProof/>
          </w:rPr>
          <w:t>Proposal 5</w:t>
        </w:r>
        <w:r w:rsidR="004328AE">
          <w:rPr>
            <w:rFonts w:asciiTheme="minorHAnsi" w:eastAsiaTheme="minorEastAsia" w:hAnsiTheme="minorHAnsi" w:cstheme="minorBidi"/>
            <w:b w:val="0"/>
            <w:noProof/>
            <w:sz w:val="22"/>
            <w:szCs w:val="22"/>
            <w:lang w:val="sv-SE" w:eastAsia="sv-SE"/>
          </w:rPr>
          <w:tab/>
        </w:r>
        <w:r w:rsidR="004328AE" w:rsidRPr="008F4AF3">
          <w:rPr>
            <w:rStyle w:val="Hyperlink"/>
            <w:noProof/>
          </w:rPr>
          <w:t>For the max DL TBS of 1736 bits for HD-FDD UEs (i.e., FG 1-4 in the “UE Feature list”), the column “Type” is defined “Per UE”.</w:t>
        </w:r>
      </w:hyperlink>
    </w:p>
    <w:p w14:paraId="337FD414" w14:textId="32388633" w:rsidR="0052469A" w:rsidRPr="00136A93" w:rsidRDefault="000C11D5" w:rsidP="000C11D5">
      <w:pPr>
        <w:pStyle w:val="BodyText"/>
      </w:pPr>
      <w:r>
        <w:rPr>
          <w:b/>
          <w:bCs/>
          <w:lang w:val="en-US"/>
        </w:rPr>
        <w:fldChar w:fldCharType="end"/>
      </w:r>
      <w:r w:rsidR="0052469A" w:rsidRPr="00901E6B">
        <w:t xml:space="preserve"> </w:t>
      </w:r>
    </w:p>
    <w:p w14:paraId="7203AEF7" w14:textId="7E90EAD0" w:rsidR="00F507D1" w:rsidRPr="00CE0424" w:rsidRDefault="00F507D1" w:rsidP="00CE0424">
      <w:pPr>
        <w:pStyle w:val="Heading1"/>
      </w:pPr>
      <w:r w:rsidRPr="00CE0424">
        <w:t>References</w:t>
      </w:r>
    </w:p>
    <w:bookmarkStart w:id="23" w:name="_Ref174151459"/>
    <w:bookmarkStart w:id="24" w:name="_Ref189809556"/>
    <w:bookmarkStart w:id="25" w:name="_Ref525824664"/>
    <w:bookmarkStart w:id="26" w:name="_Hlk4751152"/>
    <w:p w14:paraId="27014B43" w14:textId="1843725F" w:rsidR="00E732B3" w:rsidRDefault="00CF4F41" w:rsidP="00F22BD5">
      <w:pPr>
        <w:pStyle w:val="Reference"/>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Pr="000227F6">
        <w:t xml:space="preserve">, </w:t>
      </w:r>
      <w:r w:rsidR="004B4854">
        <w:t>“</w:t>
      </w:r>
      <w:r w:rsidRPr="00106987">
        <w:t>WID</w:t>
      </w:r>
      <w:r w:rsidR="004B4854">
        <w:t xml:space="preserve"> revision</w:t>
      </w:r>
      <w:r w:rsidRPr="00106987">
        <w:t xml:space="preserve">: </w:t>
      </w:r>
      <w:r>
        <w:t>Additional</w:t>
      </w:r>
      <w:r w:rsidRPr="00875FFA">
        <w:t xml:space="preserve"> enhancements for NB-IoT and LTE-MTC</w:t>
      </w:r>
      <w:r w:rsidR="004B4854">
        <w:t>”</w:t>
      </w:r>
      <w:r w:rsidRPr="00106987">
        <w:t>, RAN #8</w:t>
      </w:r>
      <w:r>
        <w:t>8e</w:t>
      </w:r>
      <w:r w:rsidRPr="00106987">
        <w:t xml:space="preserve">, </w:t>
      </w:r>
      <w:r>
        <w:t>Electronic Meeting, June</w:t>
      </w:r>
      <w:r w:rsidRPr="00875FFA">
        <w:t xml:space="preserve"> </w:t>
      </w:r>
      <w:r>
        <w:t>2</w:t>
      </w:r>
      <w:r w:rsidRPr="00875FFA">
        <w:t>9</w:t>
      </w:r>
      <w:r w:rsidRPr="00875FFA">
        <w:rPr>
          <w:vertAlign w:val="superscript"/>
        </w:rPr>
        <w:t>th</w:t>
      </w:r>
      <w:r w:rsidR="004B4854">
        <w:rPr>
          <w:vertAlign w:val="superscript"/>
        </w:rPr>
        <w:t xml:space="preserve"> </w:t>
      </w:r>
      <w:r w:rsidR="004B4854">
        <w:t xml:space="preserve">– July </w:t>
      </w:r>
      <w:r>
        <w:t>3</w:t>
      </w:r>
      <w:r w:rsidRPr="00D3494B">
        <w:rPr>
          <w:vertAlign w:val="superscript"/>
        </w:rPr>
        <w:t>rd</w:t>
      </w:r>
      <w:r w:rsidRPr="00875FFA">
        <w:t>, 20</w:t>
      </w:r>
      <w:r>
        <w:t>20</w:t>
      </w:r>
      <w:r w:rsidRPr="000227F6">
        <w:t>.</w:t>
      </w:r>
      <w:bookmarkEnd w:id="23"/>
      <w:bookmarkEnd w:id="24"/>
      <w:bookmarkEnd w:id="25"/>
      <w:bookmarkEnd w:id="26"/>
    </w:p>
    <w:p w14:paraId="599496A8" w14:textId="4028E468" w:rsidR="009A0B84" w:rsidRDefault="00EA2DA3" w:rsidP="00E21837">
      <w:pPr>
        <w:pStyle w:val="Reference"/>
      </w:pPr>
      <w:hyperlink r:id="rId18" w:history="1">
        <w:r w:rsidR="009A0B84" w:rsidRPr="00E21837">
          <w:rPr>
            <w:rStyle w:val="Hyperlink"/>
          </w:rPr>
          <w:t>R1-21</w:t>
        </w:r>
        <w:r w:rsidR="00E21837" w:rsidRPr="00E21837">
          <w:rPr>
            <w:rStyle w:val="Hyperlink"/>
          </w:rPr>
          <w:t>12142</w:t>
        </w:r>
      </w:hyperlink>
      <w:r w:rsidR="009A0B84">
        <w:t>, “</w:t>
      </w:r>
      <w:r w:rsidR="009A0B84" w:rsidRPr="009A0B84">
        <w:t>Summary on UE features for NB-IoT and LTE-MTC enhancements</w:t>
      </w:r>
      <w:r w:rsidR="009A0B84">
        <w:t>”, Moderator (DOCOMO INC.), RAN1 #10</w:t>
      </w:r>
      <w:r w:rsidR="00E21837">
        <w:t>7</w:t>
      </w:r>
      <w:r w:rsidR="009A0B84">
        <w:t xml:space="preserve">-e, </w:t>
      </w:r>
      <w:r w:rsidR="00E21837">
        <w:t>Novem</w:t>
      </w:r>
      <w:r w:rsidR="009A0B84" w:rsidRPr="009A0B84">
        <w:t>ber 11</w:t>
      </w:r>
      <w:r w:rsidR="009A0B84" w:rsidRPr="009A0B84">
        <w:rPr>
          <w:vertAlign w:val="superscript"/>
        </w:rPr>
        <w:t>th</w:t>
      </w:r>
      <w:r w:rsidR="009A0B84" w:rsidRPr="009A0B84">
        <w:t xml:space="preserve"> – 19</w:t>
      </w:r>
      <w:r w:rsidR="009A0B84" w:rsidRPr="009A0B84">
        <w:rPr>
          <w:vertAlign w:val="superscript"/>
        </w:rPr>
        <w:t>th</w:t>
      </w:r>
      <w:r w:rsidR="009A0B84" w:rsidRPr="009A0B84">
        <w:t>, 2021</w:t>
      </w:r>
      <w:r w:rsidR="009A0B84">
        <w:t>.</w:t>
      </w:r>
    </w:p>
    <w:p w14:paraId="71870CA5" w14:textId="70D7987E" w:rsidR="00E21837" w:rsidRDefault="00EA2DA3" w:rsidP="00E21837">
      <w:pPr>
        <w:pStyle w:val="Reference"/>
      </w:pPr>
      <w:hyperlink r:id="rId19" w:history="1">
        <w:r w:rsidR="00E21837">
          <w:rPr>
            <w:rStyle w:val="Hyperlink"/>
          </w:rPr>
          <w:t>R1-2112900</w:t>
        </w:r>
      </w:hyperlink>
      <w:r w:rsidR="00E21837">
        <w:t>, “</w:t>
      </w:r>
      <w:r w:rsidR="00E21837">
        <w:rPr>
          <w:i/>
          <w:iCs/>
        </w:rPr>
        <w:t>Updated</w:t>
      </w:r>
      <w:r w:rsidR="00E21837" w:rsidRPr="006F5993">
        <w:rPr>
          <w:i/>
          <w:iCs/>
        </w:rPr>
        <w:t xml:space="preserve"> RAN1 UE features list for Rel-17 LTE</w:t>
      </w:r>
      <w:r w:rsidR="00E21837">
        <w:t xml:space="preserve">”, </w:t>
      </w:r>
      <w:r w:rsidR="00E21837" w:rsidRPr="006F5993">
        <w:t>Moderators (AT&amp;T, NTT DOCOMO, INC.)</w:t>
      </w:r>
      <w:r w:rsidR="00E21837">
        <w:t xml:space="preserve">, RAN1 #107-e, </w:t>
      </w:r>
      <w:r w:rsidR="00E21837" w:rsidRPr="006F5993">
        <w:t xml:space="preserve">e-Meeting, </w:t>
      </w:r>
      <w:r w:rsidR="00E21837">
        <w:t>November</w:t>
      </w:r>
      <w:r w:rsidR="00E21837" w:rsidRPr="006F5993">
        <w:t xml:space="preserve"> 1</w:t>
      </w:r>
      <w:r w:rsidR="00E21837">
        <w:t>1</w:t>
      </w:r>
      <w:r w:rsidR="00E21837" w:rsidRPr="006B0032">
        <w:rPr>
          <w:vertAlign w:val="superscript"/>
        </w:rPr>
        <w:t>th</w:t>
      </w:r>
      <w:r w:rsidR="00E21837" w:rsidRPr="006F5993">
        <w:t xml:space="preserve"> – </w:t>
      </w:r>
      <w:r w:rsidR="00E21837">
        <w:t>19</w:t>
      </w:r>
      <w:r w:rsidR="00E21837" w:rsidRPr="006B0032">
        <w:rPr>
          <w:vertAlign w:val="superscript"/>
        </w:rPr>
        <w:t>th</w:t>
      </w:r>
      <w:r w:rsidR="00E21837" w:rsidRPr="006F5993">
        <w:t>, 2021</w:t>
      </w:r>
      <w:r w:rsidR="00E21837">
        <w:t>.</w:t>
      </w:r>
    </w:p>
    <w:p w14:paraId="1A021F39" w14:textId="3FD9E940" w:rsidR="00E21837" w:rsidRDefault="00EA2DA3" w:rsidP="00E21837">
      <w:pPr>
        <w:pStyle w:val="Reference"/>
      </w:pPr>
      <w:hyperlink r:id="rId20" w:history="1">
        <w:r w:rsidR="006B0032">
          <w:rPr>
            <w:rStyle w:val="Hyperlink"/>
          </w:rPr>
          <w:t>R1-2112901</w:t>
        </w:r>
      </w:hyperlink>
      <w:r w:rsidR="006B0032">
        <w:t>, “</w:t>
      </w:r>
      <w:r w:rsidR="005C09A3">
        <w:rPr>
          <w:rFonts w:eastAsia="MS Mincho" w:cs="Arial"/>
          <w:bCs/>
          <w:lang w:eastAsia="ja-JP"/>
        </w:rPr>
        <w:t>LS on updated Rel-17 RAN1 UE features list for LTE</w:t>
      </w:r>
      <w:r w:rsidR="006B0032">
        <w:t xml:space="preserve">”, </w:t>
      </w:r>
      <w:r w:rsidR="006B0032" w:rsidRPr="006F5993">
        <w:t>Moderators (AT&amp;T, NTT DOCOMO, INC.)</w:t>
      </w:r>
      <w:r w:rsidR="006B0032">
        <w:t xml:space="preserve">, RAN1 #107-e, </w:t>
      </w:r>
      <w:r w:rsidR="006B0032" w:rsidRPr="006F5993">
        <w:t xml:space="preserve">e-Meeting, </w:t>
      </w:r>
      <w:r w:rsidR="006B0032">
        <w:t>November</w:t>
      </w:r>
      <w:r w:rsidR="006B0032" w:rsidRPr="006F5993">
        <w:t xml:space="preserve"> 1</w:t>
      </w:r>
      <w:r w:rsidR="006B0032">
        <w:t>1</w:t>
      </w:r>
      <w:r w:rsidR="006B0032" w:rsidRPr="006B0032">
        <w:rPr>
          <w:vertAlign w:val="superscript"/>
        </w:rPr>
        <w:t>th</w:t>
      </w:r>
      <w:r w:rsidR="006B0032" w:rsidRPr="006F5993">
        <w:t xml:space="preserve"> – </w:t>
      </w:r>
      <w:r w:rsidR="006B0032">
        <w:t>19</w:t>
      </w:r>
      <w:r w:rsidR="006B0032" w:rsidRPr="006B0032">
        <w:rPr>
          <w:vertAlign w:val="superscript"/>
        </w:rPr>
        <w:t>th</w:t>
      </w:r>
      <w:r w:rsidR="006B0032" w:rsidRPr="006F5993">
        <w:t>, 2021</w:t>
      </w:r>
      <w:r w:rsidR="006B0032">
        <w:t>.</w:t>
      </w:r>
    </w:p>
    <w:sectPr w:rsidR="00E21837" w:rsidSect="007F4FA6">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06753" w14:textId="77777777" w:rsidR="00872CB2" w:rsidRDefault="00872CB2">
      <w:r>
        <w:separator/>
      </w:r>
    </w:p>
  </w:endnote>
  <w:endnote w:type="continuationSeparator" w:id="0">
    <w:p w14:paraId="5A603327" w14:textId="77777777" w:rsidR="00872CB2" w:rsidRDefault="00872CB2">
      <w:r>
        <w:continuationSeparator/>
      </w:r>
    </w:p>
  </w:endnote>
  <w:endnote w:type="continuationNotice" w:id="1">
    <w:p w14:paraId="40222B83" w14:textId="77777777" w:rsidR="00872CB2" w:rsidRDefault="00872C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76107" w14:textId="77777777" w:rsidR="00872CB2" w:rsidRDefault="00872CB2">
      <w:r>
        <w:separator/>
      </w:r>
    </w:p>
  </w:footnote>
  <w:footnote w:type="continuationSeparator" w:id="0">
    <w:p w14:paraId="02E80681" w14:textId="77777777" w:rsidR="00872CB2" w:rsidRDefault="00872CB2">
      <w:r>
        <w:continuationSeparator/>
      </w:r>
    </w:p>
  </w:footnote>
  <w:footnote w:type="continuationNotice" w:id="1">
    <w:p w14:paraId="44680636" w14:textId="77777777" w:rsidR="00872CB2" w:rsidRDefault="00872C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88A29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252607E"/>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B114A7"/>
    <w:multiLevelType w:val="hybridMultilevel"/>
    <w:tmpl w:val="2426263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4"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D83C5A"/>
    <w:multiLevelType w:val="hybridMultilevel"/>
    <w:tmpl w:val="D1FC3D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2"/>
  </w:num>
  <w:num w:numId="4">
    <w:abstractNumId w:val="14"/>
  </w:num>
  <w:num w:numId="5">
    <w:abstractNumId w:val="15"/>
  </w:num>
  <w:num w:numId="6">
    <w:abstractNumId w:val="17"/>
  </w:num>
  <w:num w:numId="7">
    <w:abstractNumId w:val="5"/>
  </w:num>
  <w:num w:numId="8">
    <w:abstractNumId w:val="6"/>
  </w:num>
  <w:num w:numId="9">
    <w:abstractNumId w:val="3"/>
  </w:num>
  <w:num w:numId="10">
    <w:abstractNumId w:val="21"/>
  </w:num>
  <w:num w:numId="11">
    <w:abstractNumId w:val="9"/>
  </w:num>
  <w:num w:numId="12">
    <w:abstractNumId w:val="19"/>
  </w:num>
  <w:num w:numId="13">
    <w:abstractNumId w:val="8"/>
  </w:num>
  <w:num w:numId="14">
    <w:abstractNumId w:val="22"/>
  </w:num>
  <w:num w:numId="15">
    <w:abstractNumId w:val="20"/>
  </w:num>
  <w:num w:numId="16">
    <w:abstractNumId w:val="11"/>
  </w:num>
  <w:num w:numId="17">
    <w:abstractNumId w:val="4"/>
  </w:num>
  <w:num w:numId="18">
    <w:abstractNumId w:val="1"/>
  </w:num>
  <w:num w:numId="19">
    <w:abstractNumId w:val="0"/>
  </w:num>
  <w:num w:numId="20">
    <w:abstractNumId w:val="7"/>
  </w:num>
  <w:num w:numId="21">
    <w:abstractNumId w:val="18"/>
  </w:num>
  <w:num w:numId="22">
    <w:abstractNumId w:val="13"/>
  </w:num>
  <w:num w:numId="23">
    <w:abstractNumId w:val="16"/>
  </w:num>
  <w:num w:numId="24">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A37"/>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4674"/>
    <w:rsid w:val="000249EC"/>
    <w:rsid w:val="00024BFD"/>
    <w:rsid w:val="0002564D"/>
    <w:rsid w:val="00025BAD"/>
    <w:rsid w:val="00025ECA"/>
    <w:rsid w:val="00025F8C"/>
    <w:rsid w:val="000262AC"/>
    <w:rsid w:val="0002669C"/>
    <w:rsid w:val="000266EC"/>
    <w:rsid w:val="00026921"/>
    <w:rsid w:val="00027476"/>
    <w:rsid w:val="000276DE"/>
    <w:rsid w:val="00030044"/>
    <w:rsid w:val="000303E9"/>
    <w:rsid w:val="00030641"/>
    <w:rsid w:val="00031381"/>
    <w:rsid w:val="0003199C"/>
    <w:rsid w:val="00031A57"/>
    <w:rsid w:val="00031FDA"/>
    <w:rsid w:val="000320CD"/>
    <w:rsid w:val="000325B8"/>
    <w:rsid w:val="00033494"/>
    <w:rsid w:val="0003396C"/>
    <w:rsid w:val="00034038"/>
    <w:rsid w:val="00034C15"/>
    <w:rsid w:val="00034F95"/>
    <w:rsid w:val="0003649D"/>
    <w:rsid w:val="00036668"/>
    <w:rsid w:val="00036BA1"/>
    <w:rsid w:val="00037C46"/>
    <w:rsid w:val="00040140"/>
    <w:rsid w:val="00040D70"/>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B91"/>
    <w:rsid w:val="0004530D"/>
    <w:rsid w:val="00045501"/>
    <w:rsid w:val="000455A1"/>
    <w:rsid w:val="00045823"/>
    <w:rsid w:val="0004679E"/>
    <w:rsid w:val="00046BEE"/>
    <w:rsid w:val="0004744C"/>
    <w:rsid w:val="0004772A"/>
    <w:rsid w:val="000500CC"/>
    <w:rsid w:val="000502F1"/>
    <w:rsid w:val="00051E84"/>
    <w:rsid w:val="0005211E"/>
    <w:rsid w:val="00052390"/>
    <w:rsid w:val="00052A07"/>
    <w:rsid w:val="00052AD1"/>
    <w:rsid w:val="0005300B"/>
    <w:rsid w:val="000534E3"/>
    <w:rsid w:val="00053781"/>
    <w:rsid w:val="00054A09"/>
    <w:rsid w:val="000550A6"/>
    <w:rsid w:val="0005606A"/>
    <w:rsid w:val="00057117"/>
    <w:rsid w:val="0005716B"/>
    <w:rsid w:val="0005747E"/>
    <w:rsid w:val="000574BC"/>
    <w:rsid w:val="000575BE"/>
    <w:rsid w:val="00057E78"/>
    <w:rsid w:val="00060177"/>
    <w:rsid w:val="00061031"/>
    <w:rsid w:val="000616E7"/>
    <w:rsid w:val="00061D48"/>
    <w:rsid w:val="00061E07"/>
    <w:rsid w:val="000621B5"/>
    <w:rsid w:val="00062A13"/>
    <w:rsid w:val="00062CC6"/>
    <w:rsid w:val="00063341"/>
    <w:rsid w:val="0006447C"/>
    <w:rsid w:val="0006487E"/>
    <w:rsid w:val="00064BCC"/>
    <w:rsid w:val="00064C25"/>
    <w:rsid w:val="0006527A"/>
    <w:rsid w:val="000656E1"/>
    <w:rsid w:val="00065BF6"/>
    <w:rsid w:val="00065D4C"/>
    <w:rsid w:val="00065E1A"/>
    <w:rsid w:val="000660D6"/>
    <w:rsid w:val="00066962"/>
    <w:rsid w:val="00066AEF"/>
    <w:rsid w:val="00066E6E"/>
    <w:rsid w:val="00066FA8"/>
    <w:rsid w:val="00067293"/>
    <w:rsid w:val="000674A5"/>
    <w:rsid w:val="0006771C"/>
    <w:rsid w:val="00067BEE"/>
    <w:rsid w:val="00067F7D"/>
    <w:rsid w:val="00070082"/>
    <w:rsid w:val="000717FB"/>
    <w:rsid w:val="0007183A"/>
    <w:rsid w:val="00071A30"/>
    <w:rsid w:val="00071E0C"/>
    <w:rsid w:val="00072262"/>
    <w:rsid w:val="00072581"/>
    <w:rsid w:val="0007335A"/>
    <w:rsid w:val="00073642"/>
    <w:rsid w:val="00073AE0"/>
    <w:rsid w:val="00073AF0"/>
    <w:rsid w:val="00074015"/>
    <w:rsid w:val="000740AC"/>
    <w:rsid w:val="000757A0"/>
    <w:rsid w:val="00076502"/>
    <w:rsid w:val="0007673F"/>
    <w:rsid w:val="00076887"/>
    <w:rsid w:val="00077165"/>
    <w:rsid w:val="00077D1D"/>
    <w:rsid w:val="00077E5F"/>
    <w:rsid w:val="0008036A"/>
    <w:rsid w:val="00080BB7"/>
    <w:rsid w:val="00081293"/>
    <w:rsid w:val="0008197D"/>
    <w:rsid w:val="00081AE6"/>
    <w:rsid w:val="0008294A"/>
    <w:rsid w:val="000830B9"/>
    <w:rsid w:val="00083425"/>
    <w:rsid w:val="0008359E"/>
    <w:rsid w:val="0008369A"/>
    <w:rsid w:val="00083F22"/>
    <w:rsid w:val="00084943"/>
    <w:rsid w:val="00084C73"/>
    <w:rsid w:val="000851A1"/>
    <w:rsid w:val="000855DE"/>
    <w:rsid w:val="000855EB"/>
    <w:rsid w:val="00085B52"/>
    <w:rsid w:val="00086603"/>
    <w:rsid w:val="000866F2"/>
    <w:rsid w:val="00086BFA"/>
    <w:rsid w:val="000875D4"/>
    <w:rsid w:val="0009009F"/>
    <w:rsid w:val="00091362"/>
    <w:rsid w:val="00091557"/>
    <w:rsid w:val="00091922"/>
    <w:rsid w:val="00091D94"/>
    <w:rsid w:val="000923A6"/>
    <w:rsid w:val="000924C1"/>
    <w:rsid w:val="000924F0"/>
    <w:rsid w:val="00092914"/>
    <w:rsid w:val="00092B61"/>
    <w:rsid w:val="00093474"/>
    <w:rsid w:val="0009366E"/>
    <w:rsid w:val="0009385E"/>
    <w:rsid w:val="00093C62"/>
    <w:rsid w:val="00093E60"/>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B7B"/>
    <w:rsid w:val="000A2308"/>
    <w:rsid w:val="000A2362"/>
    <w:rsid w:val="000A29C4"/>
    <w:rsid w:val="000A37C1"/>
    <w:rsid w:val="000A38B8"/>
    <w:rsid w:val="000A4286"/>
    <w:rsid w:val="000A43D1"/>
    <w:rsid w:val="000A4A2B"/>
    <w:rsid w:val="000A4F09"/>
    <w:rsid w:val="000A56F2"/>
    <w:rsid w:val="000A5C3D"/>
    <w:rsid w:val="000A5C47"/>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619F"/>
    <w:rsid w:val="000B61E9"/>
    <w:rsid w:val="000B6308"/>
    <w:rsid w:val="000B7585"/>
    <w:rsid w:val="000B7609"/>
    <w:rsid w:val="000B777B"/>
    <w:rsid w:val="000B7B0A"/>
    <w:rsid w:val="000B7B10"/>
    <w:rsid w:val="000C0465"/>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49EB"/>
    <w:rsid w:val="000C55AB"/>
    <w:rsid w:val="000C5B63"/>
    <w:rsid w:val="000C6090"/>
    <w:rsid w:val="000C6122"/>
    <w:rsid w:val="000C654D"/>
    <w:rsid w:val="000C7C27"/>
    <w:rsid w:val="000C7E43"/>
    <w:rsid w:val="000D003E"/>
    <w:rsid w:val="000D0D07"/>
    <w:rsid w:val="000D0ED1"/>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304"/>
    <w:rsid w:val="000E1CEB"/>
    <w:rsid w:val="000E1E17"/>
    <w:rsid w:val="000E1E92"/>
    <w:rsid w:val="000E27D8"/>
    <w:rsid w:val="000E30B2"/>
    <w:rsid w:val="000E30DA"/>
    <w:rsid w:val="000E37A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DF3"/>
    <w:rsid w:val="000F719F"/>
    <w:rsid w:val="000F731E"/>
    <w:rsid w:val="000F7B39"/>
    <w:rsid w:val="000F7C0D"/>
    <w:rsid w:val="001005FF"/>
    <w:rsid w:val="0010113C"/>
    <w:rsid w:val="00101452"/>
    <w:rsid w:val="00101ABF"/>
    <w:rsid w:val="001023DE"/>
    <w:rsid w:val="00102FDD"/>
    <w:rsid w:val="0010304C"/>
    <w:rsid w:val="001035F6"/>
    <w:rsid w:val="0010374B"/>
    <w:rsid w:val="00103E73"/>
    <w:rsid w:val="00104053"/>
    <w:rsid w:val="001049DF"/>
    <w:rsid w:val="00104C31"/>
    <w:rsid w:val="00104DE1"/>
    <w:rsid w:val="0010522E"/>
    <w:rsid w:val="00105862"/>
    <w:rsid w:val="001062FB"/>
    <w:rsid w:val="001063E6"/>
    <w:rsid w:val="00106987"/>
    <w:rsid w:val="00106AAA"/>
    <w:rsid w:val="00106F5C"/>
    <w:rsid w:val="00110E2B"/>
    <w:rsid w:val="0011118D"/>
    <w:rsid w:val="00113B38"/>
    <w:rsid w:val="00113B78"/>
    <w:rsid w:val="00113B8F"/>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AA"/>
    <w:rsid w:val="00117A78"/>
    <w:rsid w:val="001207A8"/>
    <w:rsid w:val="00120CB0"/>
    <w:rsid w:val="001219F5"/>
    <w:rsid w:val="00121A20"/>
    <w:rsid w:val="00121B71"/>
    <w:rsid w:val="00122B34"/>
    <w:rsid w:val="00122DFF"/>
    <w:rsid w:val="00123045"/>
    <w:rsid w:val="001231D0"/>
    <w:rsid w:val="0012377F"/>
    <w:rsid w:val="00123941"/>
    <w:rsid w:val="00123F5C"/>
    <w:rsid w:val="00124314"/>
    <w:rsid w:val="00124488"/>
    <w:rsid w:val="001245F8"/>
    <w:rsid w:val="00125D7F"/>
    <w:rsid w:val="00125F31"/>
    <w:rsid w:val="00126B4A"/>
    <w:rsid w:val="00127888"/>
    <w:rsid w:val="00127913"/>
    <w:rsid w:val="00127D44"/>
    <w:rsid w:val="00130F05"/>
    <w:rsid w:val="00131110"/>
    <w:rsid w:val="001317D4"/>
    <w:rsid w:val="00131A8D"/>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CAC"/>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7D4"/>
    <w:rsid w:val="00150AAA"/>
    <w:rsid w:val="00151257"/>
    <w:rsid w:val="001512E6"/>
    <w:rsid w:val="00151DF3"/>
    <w:rsid w:val="00151E23"/>
    <w:rsid w:val="001526E0"/>
    <w:rsid w:val="00152806"/>
    <w:rsid w:val="001529CE"/>
    <w:rsid w:val="00152B02"/>
    <w:rsid w:val="00152B36"/>
    <w:rsid w:val="001535D4"/>
    <w:rsid w:val="001546BC"/>
    <w:rsid w:val="001547BD"/>
    <w:rsid w:val="001551B5"/>
    <w:rsid w:val="00155C75"/>
    <w:rsid w:val="00156061"/>
    <w:rsid w:val="0015616C"/>
    <w:rsid w:val="00156ED9"/>
    <w:rsid w:val="00157792"/>
    <w:rsid w:val="00157908"/>
    <w:rsid w:val="00157DBE"/>
    <w:rsid w:val="0016060D"/>
    <w:rsid w:val="00160AEA"/>
    <w:rsid w:val="00161407"/>
    <w:rsid w:val="00161B73"/>
    <w:rsid w:val="00161ED8"/>
    <w:rsid w:val="0016211D"/>
    <w:rsid w:val="00162988"/>
    <w:rsid w:val="001632C9"/>
    <w:rsid w:val="00163513"/>
    <w:rsid w:val="001645D4"/>
    <w:rsid w:val="001652C6"/>
    <w:rsid w:val="001659C1"/>
    <w:rsid w:val="00167323"/>
    <w:rsid w:val="00167710"/>
    <w:rsid w:val="001679AE"/>
    <w:rsid w:val="00167CFA"/>
    <w:rsid w:val="0017013E"/>
    <w:rsid w:val="00170393"/>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6A02"/>
    <w:rsid w:val="00177278"/>
    <w:rsid w:val="0017744C"/>
    <w:rsid w:val="001776B6"/>
    <w:rsid w:val="001776BE"/>
    <w:rsid w:val="00177B9B"/>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73"/>
    <w:rsid w:val="001910F1"/>
    <w:rsid w:val="00191A54"/>
    <w:rsid w:val="00191B9E"/>
    <w:rsid w:val="001921C2"/>
    <w:rsid w:val="00192907"/>
    <w:rsid w:val="001931BE"/>
    <w:rsid w:val="001931C1"/>
    <w:rsid w:val="0019341A"/>
    <w:rsid w:val="00193552"/>
    <w:rsid w:val="00194BA9"/>
    <w:rsid w:val="00195001"/>
    <w:rsid w:val="001952AE"/>
    <w:rsid w:val="001953A8"/>
    <w:rsid w:val="00195E2A"/>
    <w:rsid w:val="00196705"/>
    <w:rsid w:val="00197424"/>
    <w:rsid w:val="00197DA6"/>
    <w:rsid w:val="00197DF9"/>
    <w:rsid w:val="00197EB8"/>
    <w:rsid w:val="001A0578"/>
    <w:rsid w:val="001A0F8C"/>
    <w:rsid w:val="001A105F"/>
    <w:rsid w:val="001A1987"/>
    <w:rsid w:val="001A2564"/>
    <w:rsid w:val="001A313E"/>
    <w:rsid w:val="001A3243"/>
    <w:rsid w:val="001A366B"/>
    <w:rsid w:val="001A3EAB"/>
    <w:rsid w:val="001A4851"/>
    <w:rsid w:val="001A4DD0"/>
    <w:rsid w:val="001A4FF0"/>
    <w:rsid w:val="001A59FE"/>
    <w:rsid w:val="001A5E71"/>
    <w:rsid w:val="001A5FFF"/>
    <w:rsid w:val="001A6173"/>
    <w:rsid w:val="001A694B"/>
    <w:rsid w:val="001A6CBA"/>
    <w:rsid w:val="001A6CEA"/>
    <w:rsid w:val="001A7BF4"/>
    <w:rsid w:val="001B01AD"/>
    <w:rsid w:val="001B0217"/>
    <w:rsid w:val="001B0C0C"/>
    <w:rsid w:val="001B0D97"/>
    <w:rsid w:val="001B1CB1"/>
    <w:rsid w:val="001B2506"/>
    <w:rsid w:val="001B2608"/>
    <w:rsid w:val="001B2831"/>
    <w:rsid w:val="001B3D39"/>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CFA"/>
    <w:rsid w:val="001D51BA"/>
    <w:rsid w:val="001D53E7"/>
    <w:rsid w:val="001D596D"/>
    <w:rsid w:val="001D6342"/>
    <w:rsid w:val="001D6D53"/>
    <w:rsid w:val="001D6F1C"/>
    <w:rsid w:val="001D7246"/>
    <w:rsid w:val="001E0AA0"/>
    <w:rsid w:val="001E0D07"/>
    <w:rsid w:val="001E0D4D"/>
    <w:rsid w:val="001E11B2"/>
    <w:rsid w:val="001E1909"/>
    <w:rsid w:val="001E2C01"/>
    <w:rsid w:val="001E30FD"/>
    <w:rsid w:val="001E39A8"/>
    <w:rsid w:val="001E436E"/>
    <w:rsid w:val="001E58E2"/>
    <w:rsid w:val="001E5F9A"/>
    <w:rsid w:val="001E727B"/>
    <w:rsid w:val="001E76C4"/>
    <w:rsid w:val="001E7703"/>
    <w:rsid w:val="001E7AED"/>
    <w:rsid w:val="001F036F"/>
    <w:rsid w:val="001F15E1"/>
    <w:rsid w:val="001F1D0D"/>
    <w:rsid w:val="001F23D0"/>
    <w:rsid w:val="001F2C16"/>
    <w:rsid w:val="001F326A"/>
    <w:rsid w:val="001F3916"/>
    <w:rsid w:val="001F395E"/>
    <w:rsid w:val="001F4763"/>
    <w:rsid w:val="001F4C2C"/>
    <w:rsid w:val="001F5288"/>
    <w:rsid w:val="001F5465"/>
    <w:rsid w:val="001F54C5"/>
    <w:rsid w:val="001F5698"/>
    <w:rsid w:val="001F5856"/>
    <w:rsid w:val="001F6108"/>
    <w:rsid w:val="001F62C8"/>
    <w:rsid w:val="001F662C"/>
    <w:rsid w:val="001F6B9A"/>
    <w:rsid w:val="001F7074"/>
    <w:rsid w:val="001F7D71"/>
    <w:rsid w:val="00200490"/>
    <w:rsid w:val="0020068D"/>
    <w:rsid w:val="00200D70"/>
    <w:rsid w:val="00201BFF"/>
    <w:rsid w:val="00201F3A"/>
    <w:rsid w:val="00202F29"/>
    <w:rsid w:val="002037D8"/>
    <w:rsid w:val="00203CD3"/>
    <w:rsid w:val="00203F28"/>
    <w:rsid w:val="00203F96"/>
    <w:rsid w:val="00204546"/>
    <w:rsid w:val="0020457F"/>
    <w:rsid w:val="002045FA"/>
    <w:rsid w:val="002054B1"/>
    <w:rsid w:val="00205634"/>
    <w:rsid w:val="002062D3"/>
    <w:rsid w:val="002063C2"/>
    <w:rsid w:val="002069B2"/>
    <w:rsid w:val="002069B6"/>
    <w:rsid w:val="0020724C"/>
    <w:rsid w:val="002072DA"/>
    <w:rsid w:val="002073F8"/>
    <w:rsid w:val="00207B36"/>
    <w:rsid w:val="00207C8E"/>
    <w:rsid w:val="00207FA3"/>
    <w:rsid w:val="00207FD7"/>
    <w:rsid w:val="0021040E"/>
    <w:rsid w:val="00210649"/>
    <w:rsid w:val="0021121F"/>
    <w:rsid w:val="00211BD0"/>
    <w:rsid w:val="002127AF"/>
    <w:rsid w:val="00212AA3"/>
    <w:rsid w:val="00212BB0"/>
    <w:rsid w:val="00212DB8"/>
    <w:rsid w:val="00213228"/>
    <w:rsid w:val="002137E3"/>
    <w:rsid w:val="0021428A"/>
    <w:rsid w:val="002148E8"/>
    <w:rsid w:val="00214DA8"/>
    <w:rsid w:val="00215120"/>
    <w:rsid w:val="00215423"/>
    <w:rsid w:val="002158FA"/>
    <w:rsid w:val="00215E4C"/>
    <w:rsid w:val="00216C2E"/>
    <w:rsid w:val="002171DE"/>
    <w:rsid w:val="002175C8"/>
    <w:rsid w:val="00217E1B"/>
    <w:rsid w:val="002200E7"/>
    <w:rsid w:val="00220184"/>
    <w:rsid w:val="00220600"/>
    <w:rsid w:val="00220EBC"/>
    <w:rsid w:val="00221678"/>
    <w:rsid w:val="00221BDD"/>
    <w:rsid w:val="00221D68"/>
    <w:rsid w:val="00222204"/>
    <w:rsid w:val="002224DB"/>
    <w:rsid w:val="002228E4"/>
    <w:rsid w:val="00223BEF"/>
    <w:rsid w:val="00223CD0"/>
    <w:rsid w:val="00223FCB"/>
    <w:rsid w:val="002249CE"/>
    <w:rsid w:val="00224C8A"/>
    <w:rsid w:val="00224D07"/>
    <w:rsid w:val="002252C3"/>
    <w:rsid w:val="0022543F"/>
    <w:rsid w:val="0022548F"/>
    <w:rsid w:val="00225C54"/>
    <w:rsid w:val="00225DBA"/>
    <w:rsid w:val="0022613A"/>
    <w:rsid w:val="002269F8"/>
    <w:rsid w:val="00227623"/>
    <w:rsid w:val="00230765"/>
    <w:rsid w:val="00230986"/>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40B47"/>
    <w:rsid w:val="00240DFD"/>
    <w:rsid w:val="00241559"/>
    <w:rsid w:val="0024193B"/>
    <w:rsid w:val="00241B53"/>
    <w:rsid w:val="00241E50"/>
    <w:rsid w:val="00242225"/>
    <w:rsid w:val="00242735"/>
    <w:rsid w:val="00242EA5"/>
    <w:rsid w:val="002435B3"/>
    <w:rsid w:val="00243712"/>
    <w:rsid w:val="002444AD"/>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3241"/>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0E52"/>
    <w:rsid w:val="002617E7"/>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6214"/>
    <w:rsid w:val="00266DA1"/>
    <w:rsid w:val="00266F25"/>
    <w:rsid w:val="002673D6"/>
    <w:rsid w:val="00267C83"/>
    <w:rsid w:val="00270A8D"/>
    <w:rsid w:val="00270DCA"/>
    <w:rsid w:val="0027144F"/>
    <w:rsid w:val="0027157A"/>
    <w:rsid w:val="00271813"/>
    <w:rsid w:val="00271F3A"/>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43B"/>
    <w:rsid w:val="002805F5"/>
    <w:rsid w:val="00280751"/>
    <w:rsid w:val="00280C37"/>
    <w:rsid w:val="0028135B"/>
    <w:rsid w:val="0028280A"/>
    <w:rsid w:val="00283454"/>
    <w:rsid w:val="002835B1"/>
    <w:rsid w:val="0028379D"/>
    <w:rsid w:val="00283A25"/>
    <w:rsid w:val="002841E2"/>
    <w:rsid w:val="002848AD"/>
    <w:rsid w:val="00285139"/>
    <w:rsid w:val="00285147"/>
    <w:rsid w:val="002854F2"/>
    <w:rsid w:val="00286ACD"/>
    <w:rsid w:val="00287838"/>
    <w:rsid w:val="002878A1"/>
    <w:rsid w:val="00287B3E"/>
    <w:rsid w:val="00287FD6"/>
    <w:rsid w:val="002907B5"/>
    <w:rsid w:val="0029101B"/>
    <w:rsid w:val="002911B9"/>
    <w:rsid w:val="0029229D"/>
    <w:rsid w:val="00292CF1"/>
    <w:rsid w:val="00292EB7"/>
    <w:rsid w:val="00293528"/>
    <w:rsid w:val="00293566"/>
    <w:rsid w:val="00293AFD"/>
    <w:rsid w:val="00294057"/>
    <w:rsid w:val="00294162"/>
    <w:rsid w:val="0029467C"/>
    <w:rsid w:val="00294E91"/>
    <w:rsid w:val="00295264"/>
    <w:rsid w:val="00295686"/>
    <w:rsid w:val="00296227"/>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519C"/>
    <w:rsid w:val="002A567C"/>
    <w:rsid w:val="002A595F"/>
    <w:rsid w:val="002A5A74"/>
    <w:rsid w:val="002A5A8F"/>
    <w:rsid w:val="002A636C"/>
    <w:rsid w:val="002A644A"/>
    <w:rsid w:val="002A68DA"/>
    <w:rsid w:val="002A6D45"/>
    <w:rsid w:val="002A7069"/>
    <w:rsid w:val="002A76BC"/>
    <w:rsid w:val="002A7A73"/>
    <w:rsid w:val="002A7CFF"/>
    <w:rsid w:val="002A7F3E"/>
    <w:rsid w:val="002B01D9"/>
    <w:rsid w:val="002B03F5"/>
    <w:rsid w:val="002B0DEE"/>
    <w:rsid w:val="002B1001"/>
    <w:rsid w:val="002B103C"/>
    <w:rsid w:val="002B1150"/>
    <w:rsid w:val="002B129E"/>
    <w:rsid w:val="002B134E"/>
    <w:rsid w:val="002B17BC"/>
    <w:rsid w:val="002B1BF2"/>
    <w:rsid w:val="002B24D6"/>
    <w:rsid w:val="002B3C3D"/>
    <w:rsid w:val="002B4523"/>
    <w:rsid w:val="002B4954"/>
    <w:rsid w:val="002B519B"/>
    <w:rsid w:val="002B5E2A"/>
    <w:rsid w:val="002B64AA"/>
    <w:rsid w:val="002B747E"/>
    <w:rsid w:val="002B7C0D"/>
    <w:rsid w:val="002B7C12"/>
    <w:rsid w:val="002C0346"/>
    <w:rsid w:val="002C0463"/>
    <w:rsid w:val="002C0EA8"/>
    <w:rsid w:val="002C12C3"/>
    <w:rsid w:val="002C165B"/>
    <w:rsid w:val="002C1890"/>
    <w:rsid w:val="002C1A85"/>
    <w:rsid w:val="002C29B6"/>
    <w:rsid w:val="002C2B26"/>
    <w:rsid w:val="002C35F8"/>
    <w:rsid w:val="002C3794"/>
    <w:rsid w:val="002C41E6"/>
    <w:rsid w:val="002C4B82"/>
    <w:rsid w:val="002C4D39"/>
    <w:rsid w:val="002C4E3D"/>
    <w:rsid w:val="002C4FFD"/>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6337"/>
    <w:rsid w:val="002D6654"/>
    <w:rsid w:val="002D6C4A"/>
    <w:rsid w:val="002D7264"/>
    <w:rsid w:val="002D735E"/>
    <w:rsid w:val="002D73FF"/>
    <w:rsid w:val="002D7637"/>
    <w:rsid w:val="002E05FE"/>
    <w:rsid w:val="002E07EB"/>
    <w:rsid w:val="002E0898"/>
    <w:rsid w:val="002E12DE"/>
    <w:rsid w:val="002E1731"/>
    <w:rsid w:val="002E17F2"/>
    <w:rsid w:val="002E193C"/>
    <w:rsid w:val="002E1ACE"/>
    <w:rsid w:val="002E1C12"/>
    <w:rsid w:val="002E2387"/>
    <w:rsid w:val="002E2CC7"/>
    <w:rsid w:val="002E3199"/>
    <w:rsid w:val="002E344A"/>
    <w:rsid w:val="002E37DA"/>
    <w:rsid w:val="002E37F4"/>
    <w:rsid w:val="002E4DDD"/>
    <w:rsid w:val="002E5168"/>
    <w:rsid w:val="002E5443"/>
    <w:rsid w:val="002E5512"/>
    <w:rsid w:val="002E6052"/>
    <w:rsid w:val="002E632D"/>
    <w:rsid w:val="002E7135"/>
    <w:rsid w:val="002E7559"/>
    <w:rsid w:val="002E777C"/>
    <w:rsid w:val="002E7BC5"/>
    <w:rsid w:val="002E7CAE"/>
    <w:rsid w:val="002F0350"/>
    <w:rsid w:val="002F13D6"/>
    <w:rsid w:val="002F215A"/>
    <w:rsid w:val="002F2771"/>
    <w:rsid w:val="002F2B1E"/>
    <w:rsid w:val="002F31B9"/>
    <w:rsid w:val="002F37A9"/>
    <w:rsid w:val="002F3886"/>
    <w:rsid w:val="002F38D6"/>
    <w:rsid w:val="002F3C18"/>
    <w:rsid w:val="002F3F47"/>
    <w:rsid w:val="002F453C"/>
    <w:rsid w:val="002F468C"/>
    <w:rsid w:val="002F473F"/>
    <w:rsid w:val="002F47CF"/>
    <w:rsid w:val="002F4ADD"/>
    <w:rsid w:val="002F57B4"/>
    <w:rsid w:val="002F5AD2"/>
    <w:rsid w:val="002F5FA2"/>
    <w:rsid w:val="002F64AE"/>
    <w:rsid w:val="002F64D6"/>
    <w:rsid w:val="002F7CCB"/>
    <w:rsid w:val="002F7DCD"/>
    <w:rsid w:val="00300077"/>
    <w:rsid w:val="00300AEA"/>
    <w:rsid w:val="00300CCE"/>
    <w:rsid w:val="0030134F"/>
    <w:rsid w:val="00301C18"/>
    <w:rsid w:val="00301CE6"/>
    <w:rsid w:val="00301D5F"/>
    <w:rsid w:val="0030256B"/>
    <w:rsid w:val="003025A7"/>
    <w:rsid w:val="00302920"/>
    <w:rsid w:val="00302976"/>
    <w:rsid w:val="00303B17"/>
    <w:rsid w:val="00303DD1"/>
    <w:rsid w:val="00303E56"/>
    <w:rsid w:val="003048EB"/>
    <w:rsid w:val="00304E13"/>
    <w:rsid w:val="00304F17"/>
    <w:rsid w:val="0030501F"/>
    <w:rsid w:val="00305518"/>
    <w:rsid w:val="00305632"/>
    <w:rsid w:val="003056D2"/>
    <w:rsid w:val="003057B0"/>
    <w:rsid w:val="00306286"/>
    <w:rsid w:val="003069EE"/>
    <w:rsid w:val="00306B43"/>
    <w:rsid w:val="00306E4D"/>
    <w:rsid w:val="00307487"/>
    <w:rsid w:val="003074E6"/>
    <w:rsid w:val="00307A2F"/>
    <w:rsid w:val="00307BA1"/>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C4"/>
    <w:rsid w:val="003143BD"/>
    <w:rsid w:val="00314A33"/>
    <w:rsid w:val="00314CEB"/>
    <w:rsid w:val="00315363"/>
    <w:rsid w:val="003155A2"/>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43B"/>
    <w:rsid w:val="00337520"/>
    <w:rsid w:val="00337FD6"/>
    <w:rsid w:val="00340547"/>
    <w:rsid w:val="00341022"/>
    <w:rsid w:val="00342BD7"/>
    <w:rsid w:val="00343469"/>
    <w:rsid w:val="00344EAC"/>
    <w:rsid w:val="0034578E"/>
    <w:rsid w:val="00345F5E"/>
    <w:rsid w:val="0034689C"/>
    <w:rsid w:val="00346B69"/>
    <w:rsid w:val="00346DB5"/>
    <w:rsid w:val="003477B1"/>
    <w:rsid w:val="00347A8D"/>
    <w:rsid w:val="00347AC5"/>
    <w:rsid w:val="00347C9E"/>
    <w:rsid w:val="0035090C"/>
    <w:rsid w:val="00350E5F"/>
    <w:rsid w:val="003519C8"/>
    <w:rsid w:val="00351BB8"/>
    <w:rsid w:val="00352068"/>
    <w:rsid w:val="003525A7"/>
    <w:rsid w:val="00352845"/>
    <w:rsid w:val="003533D6"/>
    <w:rsid w:val="0035379A"/>
    <w:rsid w:val="003539A2"/>
    <w:rsid w:val="00353D34"/>
    <w:rsid w:val="0035426A"/>
    <w:rsid w:val="003555E7"/>
    <w:rsid w:val="0035625C"/>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2DA8"/>
    <w:rsid w:val="00373697"/>
    <w:rsid w:val="003739E0"/>
    <w:rsid w:val="00373BA1"/>
    <w:rsid w:val="00373C05"/>
    <w:rsid w:val="0037423B"/>
    <w:rsid w:val="003742AC"/>
    <w:rsid w:val="003757A0"/>
    <w:rsid w:val="00375856"/>
    <w:rsid w:val="00375B6A"/>
    <w:rsid w:val="0037607A"/>
    <w:rsid w:val="00376D38"/>
    <w:rsid w:val="00376F7C"/>
    <w:rsid w:val="00377CE1"/>
    <w:rsid w:val="003809A1"/>
    <w:rsid w:val="00380A35"/>
    <w:rsid w:val="00381703"/>
    <w:rsid w:val="00381A54"/>
    <w:rsid w:val="00382574"/>
    <w:rsid w:val="00382784"/>
    <w:rsid w:val="003837BA"/>
    <w:rsid w:val="00383824"/>
    <w:rsid w:val="0038508D"/>
    <w:rsid w:val="00385BF0"/>
    <w:rsid w:val="00385F1C"/>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318F"/>
    <w:rsid w:val="003939FF"/>
    <w:rsid w:val="00393B72"/>
    <w:rsid w:val="00393EBE"/>
    <w:rsid w:val="00394556"/>
    <w:rsid w:val="0039473E"/>
    <w:rsid w:val="00394BCB"/>
    <w:rsid w:val="00394FE6"/>
    <w:rsid w:val="003950D1"/>
    <w:rsid w:val="00395181"/>
    <w:rsid w:val="00396D2F"/>
    <w:rsid w:val="00397D2C"/>
    <w:rsid w:val="003A015D"/>
    <w:rsid w:val="003A01B4"/>
    <w:rsid w:val="003A0242"/>
    <w:rsid w:val="003A08C0"/>
    <w:rsid w:val="003A0F81"/>
    <w:rsid w:val="003A1126"/>
    <w:rsid w:val="003A12C6"/>
    <w:rsid w:val="003A17BC"/>
    <w:rsid w:val="003A2223"/>
    <w:rsid w:val="003A22AF"/>
    <w:rsid w:val="003A2A0F"/>
    <w:rsid w:val="003A3838"/>
    <w:rsid w:val="003A4074"/>
    <w:rsid w:val="003A45A1"/>
    <w:rsid w:val="003A463B"/>
    <w:rsid w:val="003A4BD2"/>
    <w:rsid w:val="003A5341"/>
    <w:rsid w:val="003A57B8"/>
    <w:rsid w:val="003A5B0A"/>
    <w:rsid w:val="003A655F"/>
    <w:rsid w:val="003A6643"/>
    <w:rsid w:val="003A6BAC"/>
    <w:rsid w:val="003A70A4"/>
    <w:rsid w:val="003A73D7"/>
    <w:rsid w:val="003A79C5"/>
    <w:rsid w:val="003A7BD6"/>
    <w:rsid w:val="003A7D60"/>
    <w:rsid w:val="003A7EF3"/>
    <w:rsid w:val="003B0146"/>
    <w:rsid w:val="003B06ED"/>
    <w:rsid w:val="003B087D"/>
    <w:rsid w:val="003B0DDC"/>
    <w:rsid w:val="003B159C"/>
    <w:rsid w:val="003B1898"/>
    <w:rsid w:val="003B1A61"/>
    <w:rsid w:val="003B369F"/>
    <w:rsid w:val="003B36A3"/>
    <w:rsid w:val="003B3ECB"/>
    <w:rsid w:val="003B4F1E"/>
    <w:rsid w:val="003B520E"/>
    <w:rsid w:val="003B53B6"/>
    <w:rsid w:val="003B540E"/>
    <w:rsid w:val="003B55B0"/>
    <w:rsid w:val="003B5806"/>
    <w:rsid w:val="003B5918"/>
    <w:rsid w:val="003B5D4D"/>
    <w:rsid w:val="003B5E6A"/>
    <w:rsid w:val="003B64BB"/>
    <w:rsid w:val="003B73E6"/>
    <w:rsid w:val="003B7409"/>
    <w:rsid w:val="003B74A3"/>
    <w:rsid w:val="003B7AC5"/>
    <w:rsid w:val="003B7EAD"/>
    <w:rsid w:val="003B7FE5"/>
    <w:rsid w:val="003C11C8"/>
    <w:rsid w:val="003C1BA9"/>
    <w:rsid w:val="003C1DB2"/>
    <w:rsid w:val="003C23EA"/>
    <w:rsid w:val="003C25B4"/>
    <w:rsid w:val="003C2702"/>
    <w:rsid w:val="003C2B8A"/>
    <w:rsid w:val="003C2C01"/>
    <w:rsid w:val="003C2D1E"/>
    <w:rsid w:val="003C2FF5"/>
    <w:rsid w:val="003C3431"/>
    <w:rsid w:val="003C4092"/>
    <w:rsid w:val="003C4A06"/>
    <w:rsid w:val="003C65F3"/>
    <w:rsid w:val="003C68D5"/>
    <w:rsid w:val="003C6902"/>
    <w:rsid w:val="003C6AC4"/>
    <w:rsid w:val="003C6ACE"/>
    <w:rsid w:val="003C7594"/>
    <w:rsid w:val="003C75DA"/>
    <w:rsid w:val="003C7618"/>
    <w:rsid w:val="003C7806"/>
    <w:rsid w:val="003C7E70"/>
    <w:rsid w:val="003D109F"/>
    <w:rsid w:val="003D1528"/>
    <w:rsid w:val="003D1DC3"/>
    <w:rsid w:val="003D1F67"/>
    <w:rsid w:val="003D2478"/>
    <w:rsid w:val="003D25B4"/>
    <w:rsid w:val="003D28BA"/>
    <w:rsid w:val="003D29CD"/>
    <w:rsid w:val="003D3111"/>
    <w:rsid w:val="003D3804"/>
    <w:rsid w:val="003D386D"/>
    <w:rsid w:val="003D3C45"/>
    <w:rsid w:val="003D59FF"/>
    <w:rsid w:val="003D5B1F"/>
    <w:rsid w:val="003D5C41"/>
    <w:rsid w:val="003D5F37"/>
    <w:rsid w:val="003D68A5"/>
    <w:rsid w:val="003D691D"/>
    <w:rsid w:val="003D6E8E"/>
    <w:rsid w:val="003D7651"/>
    <w:rsid w:val="003D7786"/>
    <w:rsid w:val="003D78C1"/>
    <w:rsid w:val="003D7F69"/>
    <w:rsid w:val="003D7F9D"/>
    <w:rsid w:val="003E07A7"/>
    <w:rsid w:val="003E1283"/>
    <w:rsid w:val="003E1498"/>
    <w:rsid w:val="003E15AE"/>
    <w:rsid w:val="003E15FA"/>
    <w:rsid w:val="003E1A47"/>
    <w:rsid w:val="003E230A"/>
    <w:rsid w:val="003E2335"/>
    <w:rsid w:val="003E23F2"/>
    <w:rsid w:val="003E312F"/>
    <w:rsid w:val="003E31E8"/>
    <w:rsid w:val="003E37FE"/>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F5"/>
    <w:rsid w:val="003F34FC"/>
    <w:rsid w:val="003F4313"/>
    <w:rsid w:val="003F44A7"/>
    <w:rsid w:val="003F5250"/>
    <w:rsid w:val="003F5B0A"/>
    <w:rsid w:val="003F5DB5"/>
    <w:rsid w:val="003F6030"/>
    <w:rsid w:val="003F650B"/>
    <w:rsid w:val="003F6BBE"/>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3BF"/>
    <w:rsid w:val="00410526"/>
    <w:rsid w:val="00410B72"/>
    <w:rsid w:val="00410F18"/>
    <w:rsid w:val="00411202"/>
    <w:rsid w:val="00411F1D"/>
    <w:rsid w:val="0041263E"/>
    <w:rsid w:val="004126F7"/>
    <w:rsid w:val="004127BC"/>
    <w:rsid w:val="00412BA5"/>
    <w:rsid w:val="00412FCB"/>
    <w:rsid w:val="00413182"/>
    <w:rsid w:val="004135C2"/>
    <w:rsid w:val="00413AAC"/>
    <w:rsid w:val="00413E92"/>
    <w:rsid w:val="00414024"/>
    <w:rsid w:val="00414B38"/>
    <w:rsid w:val="00415B91"/>
    <w:rsid w:val="00415C12"/>
    <w:rsid w:val="004161FA"/>
    <w:rsid w:val="00417BF5"/>
    <w:rsid w:val="00421105"/>
    <w:rsid w:val="00421ED2"/>
    <w:rsid w:val="0042249A"/>
    <w:rsid w:val="00422AA4"/>
    <w:rsid w:val="0042380D"/>
    <w:rsid w:val="00423BDD"/>
    <w:rsid w:val="00424297"/>
    <w:rsid w:val="004242F4"/>
    <w:rsid w:val="00425034"/>
    <w:rsid w:val="00425FD9"/>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F73"/>
    <w:rsid w:val="00432555"/>
    <w:rsid w:val="004328AE"/>
    <w:rsid w:val="00433544"/>
    <w:rsid w:val="00433C2E"/>
    <w:rsid w:val="00433C46"/>
    <w:rsid w:val="00434B93"/>
    <w:rsid w:val="00434F41"/>
    <w:rsid w:val="00435CE6"/>
    <w:rsid w:val="00436596"/>
    <w:rsid w:val="00436600"/>
    <w:rsid w:val="00436D80"/>
    <w:rsid w:val="00437447"/>
    <w:rsid w:val="00437DD5"/>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411A"/>
    <w:rsid w:val="00455061"/>
    <w:rsid w:val="004552A2"/>
    <w:rsid w:val="0045543A"/>
    <w:rsid w:val="00455E4A"/>
    <w:rsid w:val="0045622F"/>
    <w:rsid w:val="004565DE"/>
    <w:rsid w:val="0045699F"/>
    <w:rsid w:val="004574C8"/>
    <w:rsid w:val="00457565"/>
    <w:rsid w:val="00457B71"/>
    <w:rsid w:val="00457FA6"/>
    <w:rsid w:val="004604E5"/>
    <w:rsid w:val="00460887"/>
    <w:rsid w:val="0046183B"/>
    <w:rsid w:val="0046194E"/>
    <w:rsid w:val="00461C7D"/>
    <w:rsid w:val="00462A49"/>
    <w:rsid w:val="00462DAF"/>
    <w:rsid w:val="00462DB0"/>
    <w:rsid w:val="00462E70"/>
    <w:rsid w:val="004649D0"/>
    <w:rsid w:val="00464FE2"/>
    <w:rsid w:val="004651EF"/>
    <w:rsid w:val="00465644"/>
    <w:rsid w:val="00465997"/>
    <w:rsid w:val="004669E2"/>
    <w:rsid w:val="00467478"/>
    <w:rsid w:val="00467CCA"/>
    <w:rsid w:val="00467D75"/>
    <w:rsid w:val="004704CE"/>
    <w:rsid w:val="00470638"/>
    <w:rsid w:val="00470C31"/>
    <w:rsid w:val="00471DE0"/>
    <w:rsid w:val="004721BC"/>
    <w:rsid w:val="004721F9"/>
    <w:rsid w:val="00472558"/>
    <w:rsid w:val="004726E4"/>
    <w:rsid w:val="00472FDA"/>
    <w:rsid w:val="00473147"/>
    <w:rsid w:val="004734D0"/>
    <w:rsid w:val="00473C75"/>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3DB"/>
    <w:rsid w:val="00480415"/>
    <w:rsid w:val="00481ADE"/>
    <w:rsid w:val="00481B71"/>
    <w:rsid w:val="0048226A"/>
    <w:rsid w:val="00482600"/>
    <w:rsid w:val="00483282"/>
    <w:rsid w:val="00483494"/>
    <w:rsid w:val="004838A5"/>
    <w:rsid w:val="00484559"/>
    <w:rsid w:val="004851CF"/>
    <w:rsid w:val="00485C81"/>
    <w:rsid w:val="00485DDA"/>
    <w:rsid w:val="004862B2"/>
    <w:rsid w:val="004868E3"/>
    <w:rsid w:val="0048774F"/>
    <w:rsid w:val="00487857"/>
    <w:rsid w:val="00487C74"/>
    <w:rsid w:val="00487C79"/>
    <w:rsid w:val="00487CC7"/>
    <w:rsid w:val="00487D62"/>
    <w:rsid w:val="00487E8F"/>
    <w:rsid w:val="00490194"/>
    <w:rsid w:val="004901BD"/>
    <w:rsid w:val="004904BB"/>
    <w:rsid w:val="00491313"/>
    <w:rsid w:val="00491697"/>
    <w:rsid w:val="00491752"/>
    <w:rsid w:val="00491C62"/>
    <w:rsid w:val="004921CD"/>
    <w:rsid w:val="00492AE0"/>
    <w:rsid w:val="00492BC5"/>
    <w:rsid w:val="00492CF7"/>
    <w:rsid w:val="00493595"/>
    <w:rsid w:val="00493C2B"/>
    <w:rsid w:val="00494354"/>
    <w:rsid w:val="0049488C"/>
    <w:rsid w:val="00494EC2"/>
    <w:rsid w:val="0049531B"/>
    <w:rsid w:val="00495393"/>
    <w:rsid w:val="0049558B"/>
    <w:rsid w:val="00495754"/>
    <w:rsid w:val="004958EB"/>
    <w:rsid w:val="00495D44"/>
    <w:rsid w:val="004964F1"/>
    <w:rsid w:val="00497D7B"/>
    <w:rsid w:val="00497F95"/>
    <w:rsid w:val="004A086A"/>
    <w:rsid w:val="004A08C5"/>
    <w:rsid w:val="004A0D9C"/>
    <w:rsid w:val="004A0E7A"/>
    <w:rsid w:val="004A16BC"/>
    <w:rsid w:val="004A1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B48"/>
    <w:rsid w:val="004A7C63"/>
    <w:rsid w:val="004B0659"/>
    <w:rsid w:val="004B0B42"/>
    <w:rsid w:val="004B17D1"/>
    <w:rsid w:val="004B17FF"/>
    <w:rsid w:val="004B1C8B"/>
    <w:rsid w:val="004B1D99"/>
    <w:rsid w:val="004B1E28"/>
    <w:rsid w:val="004B1ED8"/>
    <w:rsid w:val="004B2683"/>
    <w:rsid w:val="004B2FB1"/>
    <w:rsid w:val="004B3A59"/>
    <w:rsid w:val="004B4854"/>
    <w:rsid w:val="004B49FB"/>
    <w:rsid w:val="004B553B"/>
    <w:rsid w:val="004B5AE8"/>
    <w:rsid w:val="004B5E80"/>
    <w:rsid w:val="004B6318"/>
    <w:rsid w:val="004B69EB"/>
    <w:rsid w:val="004B6BFA"/>
    <w:rsid w:val="004B6EEF"/>
    <w:rsid w:val="004B6F6A"/>
    <w:rsid w:val="004B743D"/>
    <w:rsid w:val="004B74CD"/>
    <w:rsid w:val="004B7915"/>
    <w:rsid w:val="004B7C0C"/>
    <w:rsid w:val="004C0688"/>
    <w:rsid w:val="004C07A4"/>
    <w:rsid w:val="004C0957"/>
    <w:rsid w:val="004C1A74"/>
    <w:rsid w:val="004C2CB9"/>
    <w:rsid w:val="004C2D86"/>
    <w:rsid w:val="004C2FE9"/>
    <w:rsid w:val="004C3898"/>
    <w:rsid w:val="004C4B7D"/>
    <w:rsid w:val="004C5737"/>
    <w:rsid w:val="004C58B3"/>
    <w:rsid w:val="004C5AEA"/>
    <w:rsid w:val="004C5BBC"/>
    <w:rsid w:val="004C5DEB"/>
    <w:rsid w:val="004C733D"/>
    <w:rsid w:val="004C784D"/>
    <w:rsid w:val="004C787E"/>
    <w:rsid w:val="004C7E05"/>
    <w:rsid w:val="004D1E16"/>
    <w:rsid w:val="004D35C3"/>
    <w:rsid w:val="004D36B1"/>
    <w:rsid w:val="004D44FE"/>
    <w:rsid w:val="004D4870"/>
    <w:rsid w:val="004D55A3"/>
    <w:rsid w:val="004D6007"/>
    <w:rsid w:val="004D6461"/>
    <w:rsid w:val="004D6464"/>
    <w:rsid w:val="004D7231"/>
    <w:rsid w:val="004D75CB"/>
    <w:rsid w:val="004D79A9"/>
    <w:rsid w:val="004D7A8B"/>
    <w:rsid w:val="004D7EBD"/>
    <w:rsid w:val="004E0565"/>
    <w:rsid w:val="004E065F"/>
    <w:rsid w:val="004E066F"/>
    <w:rsid w:val="004E0D0B"/>
    <w:rsid w:val="004E1735"/>
    <w:rsid w:val="004E1B6C"/>
    <w:rsid w:val="004E2680"/>
    <w:rsid w:val="004E28F9"/>
    <w:rsid w:val="004E31A6"/>
    <w:rsid w:val="004E3592"/>
    <w:rsid w:val="004E3A39"/>
    <w:rsid w:val="004E3DD9"/>
    <w:rsid w:val="004E3F18"/>
    <w:rsid w:val="004E462E"/>
    <w:rsid w:val="004E4A23"/>
    <w:rsid w:val="004E4AB4"/>
    <w:rsid w:val="004E4B41"/>
    <w:rsid w:val="004E540B"/>
    <w:rsid w:val="004E54B9"/>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716"/>
    <w:rsid w:val="004F4C57"/>
    <w:rsid w:val="004F4D51"/>
    <w:rsid w:val="004F4DA3"/>
    <w:rsid w:val="004F5249"/>
    <w:rsid w:val="004F541E"/>
    <w:rsid w:val="004F557A"/>
    <w:rsid w:val="004F5BB2"/>
    <w:rsid w:val="004F6350"/>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6AC"/>
    <w:rsid w:val="00507735"/>
    <w:rsid w:val="00510660"/>
    <w:rsid w:val="005107DC"/>
    <w:rsid w:val="005108D8"/>
    <w:rsid w:val="00511509"/>
    <w:rsid w:val="005116F9"/>
    <w:rsid w:val="00512F96"/>
    <w:rsid w:val="00512FDE"/>
    <w:rsid w:val="00513C16"/>
    <w:rsid w:val="005141FF"/>
    <w:rsid w:val="005142C8"/>
    <w:rsid w:val="005144A9"/>
    <w:rsid w:val="005153A7"/>
    <w:rsid w:val="00515574"/>
    <w:rsid w:val="0051559F"/>
    <w:rsid w:val="00516A45"/>
    <w:rsid w:val="00516DE7"/>
    <w:rsid w:val="0051776F"/>
    <w:rsid w:val="005205DD"/>
    <w:rsid w:val="00520ADE"/>
    <w:rsid w:val="005214CE"/>
    <w:rsid w:val="005219CF"/>
    <w:rsid w:val="00523F57"/>
    <w:rsid w:val="0052463B"/>
    <w:rsid w:val="0052469A"/>
    <w:rsid w:val="00524BAF"/>
    <w:rsid w:val="00524D47"/>
    <w:rsid w:val="00525196"/>
    <w:rsid w:val="0052673F"/>
    <w:rsid w:val="00526A4E"/>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507"/>
    <w:rsid w:val="00534761"/>
    <w:rsid w:val="00534B59"/>
    <w:rsid w:val="00534ED4"/>
    <w:rsid w:val="005359ED"/>
    <w:rsid w:val="00535DE1"/>
    <w:rsid w:val="00536455"/>
    <w:rsid w:val="0053661E"/>
    <w:rsid w:val="00536759"/>
    <w:rsid w:val="00536D3D"/>
    <w:rsid w:val="00536F16"/>
    <w:rsid w:val="00537C62"/>
    <w:rsid w:val="00537F75"/>
    <w:rsid w:val="005407EA"/>
    <w:rsid w:val="00540B70"/>
    <w:rsid w:val="00540D8B"/>
    <w:rsid w:val="00541C8C"/>
    <w:rsid w:val="00542B7F"/>
    <w:rsid w:val="00542D1F"/>
    <w:rsid w:val="00543190"/>
    <w:rsid w:val="00543701"/>
    <w:rsid w:val="0054416F"/>
    <w:rsid w:val="00544FF1"/>
    <w:rsid w:val="00545238"/>
    <w:rsid w:val="00545905"/>
    <w:rsid w:val="005464C1"/>
    <w:rsid w:val="005468EF"/>
    <w:rsid w:val="00546970"/>
    <w:rsid w:val="005470FE"/>
    <w:rsid w:val="005507EB"/>
    <w:rsid w:val="005508FD"/>
    <w:rsid w:val="00550A7F"/>
    <w:rsid w:val="00550D7E"/>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121F"/>
    <w:rsid w:val="0056122E"/>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BD5"/>
    <w:rsid w:val="00572505"/>
    <w:rsid w:val="0057295B"/>
    <w:rsid w:val="00573730"/>
    <w:rsid w:val="0057432B"/>
    <w:rsid w:val="005746DF"/>
    <w:rsid w:val="00574BD1"/>
    <w:rsid w:val="005754D2"/>
    <w:rsid w:val="005763A2"/>
    <w:rsid w:val="0057646B"/>
    <w:rsid w:val="00576528"/>
    <w:rsid w:val="005768DA"/>
    <w:rsid w:val="005772AC"/>
    <w:rsid w:val="0057797F"/>
    <w:rsid w:val="00577C1F"/>
    <w:rsid w:val="00580424"/>
    <w:rsid w:val="005804B2"/>
    <w:rsid w:val="005808BC"/>
    <w:rsid w:val="00580AB7"/>
    <w:rsid w:val="00580B34"/>
    <w:rsid w:val="00582047"/>
    <w:rsid w:val="00582114"/>
    <w:rsid w:val="005821DA"/>
    <w:rsid w:val="00582809"/>
    <w:rsid w:val="00582A15"/>
    <w:rsid w:val="00582CC8"/>
    <w:rsid w:val="0058328B"/>
    <w:rsid w:val="0058349F"/>
    <w:rsid w:val="005835FE"/>
    <w:rsid w:val="0058465A"/>
    <w:rsid w:val="00584871"/>
    <w:rsid w:val="00584EC7"/>
    <w:rsid w:val="005867AB"/>
    <w:rsid w:val="00586CF6"/>
    <w:rsid w:val="00586F43"/>
    <w:rsid w:val="00586FF6"/>
    <w:rsid w:val="00587915"/>
    <w:rsid w:val="0058798C"/>
    <w:rsid w:val="005900FA"/>
    <w:rsid w:val="00590525"/>
    <w:rsid w:val="005913D0"/>
    <w:rsid w:val="00591465"/>
    <w:rsid w:val="00591833"/>
    <w:rsid w:val="005918B3"/>
    <w:rsid w:val="0059213D"/>
    <w:rsid w:val="00592164"/>
    <w:rsid w:val="00592A07"/>
    <w:rsid w:val="005935A4"/>
    <w:rsid w:val="0059371D"/>
    <w:rsid w:val="00594771"/>
    <w:rsid w:val="005948C2"/>
    <w:rsid w:val="00594B03"/>
    <w:rsid w:val="005958C6"/>
    <w:rsid w:val="00595DCA"/>
    <w:rsid w:val="00595DD0"/>
    <w:rsid w:val="00595DF5"/>
    <w:rsid w:val="00595EF1"/>
    <w:rsid w:val="00596B3B"/>
    <w:rsid w:val="0059773C"/>
    <w:rsid w:val="0059775E"/>
    <w:rsid w:val="0059779B"/>
    <w:rsid w:val="00597939"/>
    <w:rsid w:val="005A0089"/>
    <w:rsid w:val="005A054A"/>
    <w:rsid w:val="005A0597"/>
    <w:rsid w:val="005A1E53"/>
    <w:rsid w:val="005A209A"/>
    <w:rsid w:val="005A272F"/>
    <w:rsid w:val="005A27F6"/>
    <w:rsid w:val="005A2D72"/>
    <w:rsid w:val="005A38B4"/>
    <w:rsid w:val="005A39C7"/>
    <w:rsid w:val="005A3B62"/>
    <w:rsid w:val="005A4CDD"/>
    <w:rsid w:val="005A514C"/>
    <w:rsid w:val="005A5622"/>
    <w:rsid w:val="005A5845"/>
    <w:rsid w:val="005A5D98"/>
    <w:rsid w:val="005A5EAA"/>
    <w:rsid w:val="005A662D"/>
    <w:rsid w:val="005A7554"/>
    <w:rsid w:val="005A78AE"/>
    <w:rsid w:val="005A7CBF"/>
    <w:rsid w:val="005A7E19"/>
    <w:rsid w:val="005B0B9F"/>
    <w:rsid w:val="005B1409"/>
    <w:rsid w:val="005B159C"/>
    <w:rsid w:val="005B1793"/>
    <w:rsid w:val="005B2200"/>
    <w:rsid w:val="005B2700"/>
    <w:rsid w:val="005B30A9"/>
    <w:rsid w:val="005B331E"/>
    <w:rsid w:val="005B35D7"/>
    <w:rsid w:val="005B392A"/>
    <w:rsid w:val="005B39DE"/>
    <w:rsid w:val="005B3A71"/>
    <w:rsid w:val="005B3AA3"/>
    <w:rsid w:val="005B4183"/>
    <w:rsid w:val="005B474F"/>
    <w:rsid w:val="005B56FD"/>
    <w:rsid w:val="005B66C7"/>
    <w:rsid w:val="005B67D9"/>
    <w:rsid w:val="005B6F83"/>
    <w:rsid w:val="005B7517"/>
    <w:rsid w:val="005B79B0"/>
    <w:rsid w:val="005B7C66"/>
    <w:rsid w:val="005C0236"/>
    <w:rsid w:val="005C0305"/>
    <w:rsid w:val="005C0602"/>
    <w:rsid w:val="005C082E"/>
    <w:rsid w:val="005C0838"/>
    <w:rsid w:val="005C087A"/>
    <w:rsid w:val="005C09A3"/>
    <w:rsid w:val="005C0D2B"/>
    <w:rsid w:val="005C15EF"/>
    <w:rsid w:val="005C1A36"/>
    <w:rsid w:val="005C544C"/>
    <w:rsid w:val="005C562E"/>
    <w:rsid w:val="005C6D06"/>
    <w:rsid w:val="005C74FB"/>
    <w:rsid w:val="005C775D"/>
    <w:rsid w:val="005C7B84"/>
    <w:rsid w:val="005D04B5"/>
    <w:rsid w:val="005D10CC"/>
    <w:rsid w:val="005D13A6"/>
    <w:rsid w:val="005D1602"/>
    <w:rsid w:val="005D168C"/>
    <w:rsid w:val="005D1697"/>
    <w:rsid w:val="005D1AEF"/>
    <w:rsid w:val="005D2172"/>
    <w:rsid w:val="005D21F2"/>
    <w:rsid w:val="005D2F62"/>
    <w:rsid w:val="005D481A"/>
    <w:rsid w:val="005D48FF"/>
    <w:rsid w:val="005D60BF"/>
    <w:rsid w:val="005D6AF5"/>
    <w:rsid w:val="005D6B46"/>
    <w:rsid w:val="005D6B62"/>
    <w:rsid w:val="005D6C1B"/>
    <w:rsid w:val="005D6FA1"/>
    <w:rsid w:val="005D6FE1"/>
    <w:rsid w:val="005D7398"/>
    <w:rsid w:val="005E00E8"/>
    <w:rsid w:val="005E031F"/>
    <w:rsid w:val="005E094C"/>
    <w:rsid w:val="005E09FD"/>
    <w:rsid w:val="005E0CAE"/>
    <w:rsid w:val="005E17C9"/>
    <w:rsid w:val="005E2306"/>
    <w:rsid w:val="005E385F"/>
    <w:rsid w:val="005E3D84"/>
    <w:rsid w:val="005E4A5A"/>
    <w:rsid w:val="005E59BE"/>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FA7"/>
    <w:rsid w:val="00602FE4"/>
    <w:rsid w:val="0060382D"/>
    <w:rsid w:val="00603EDF"/>
    <w:rsid w:val="0060493F"/>
    <w:rsid w:val="00604E76"/>
    <w:rsid w:val="00604F14"/>
    <w:rsid w:val="00605556"/>
    <w:rsid w:val="0060555A"/>
    <w:rsid w:val="006058A6"/>
    <w:rsid w:val="00605911"/>
    <w:rsid w:val="006066F2"/>
    <w:rsid w:val="00606815"/>
    <w:rsid w:val="00606D3D"/>
    <w:rsid w:val="00606FDF"/>
    <w:rsid w:val="00607229"/>
    <w:rsid w:val="006073A4"/>
    <w:rsid w:val="00607F56"/>
    <w:rsid w:val="0061007D"/>
    <w:rsid w:val="00611434"/>
    <w:rsid w:val="006116A6"/>
    <w:rsid w:val="00611B83"/>
    <w:rsid w:val="00611F85"/>
    <w:rsid w:val="00612140"/>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7943"/>
    <w:rsid w:val="00617B82"/>
    <w:rsid w:val="00620194"/>
    <w:rsid w:val="006208EA"/>
    <w:rsid w:val="00620A71"/>
    <w:rsid w:val="00620D49"/>
    <w:rsid w:val="00620D80"/>
    <w:rsid w:val="0062115C"/>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B8F"/>
    <w:rsid w:val="006272F1"/>
    <w:rsid w:val="006274AB"/>
    <w:rsid w:val="00630001"/>
    <w:rsid w:val="006301EB"/>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3B74"/>
    <w:rsid w:val="00635037"/>
    <w:rsid w:val="006357EA"/>
    <w:rsid w:val="00635994"/>
    <w:rsid w:val="006360C2"/>
    <w:rsid w:val="00636398"/>
    <w:rsid w:val="00636453"/>
    <w:rsid w:val="006368D3"/>
    <w:rsid w:val="0063707E"/>
    <w:rsid w:val="00637557"/>
    <w:rsid w:val="006377EC"/>
    <w:rsid w:val="006378CE"/>
    <w:rsid w:val="006379B0"/>
    <w:rsid w:val="00637A5F"/>
    <w:rsid w:val="00640471"/>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389"/>
    <w:rsid w:val="00645667"/>
    <w:rsid w:val="00645D44"/>
    <w:rsid w:val="0064607A"/>
    <w:rsid w:val="0064624E"/>
    <w:rsid w:val="00646DB5"/>
    <w:rsid w:val="006502C4"/>
    <w:rsid w:val="0065050D"/>
    <w:rsid w:val="0065081C"/>
    <w:rsid w:val="00650AB9"/>
    <w:rsid w:val="00651086"/>
    <w:rsid w:val="00651089"/>
    <w:rsid w:val="0065120E"/>
    <w:rsid w:val="006520B0"/>
    <w:rsid w:val="006523A8"/>
    <w:rsid w:val="00652A08"/>
    <w:rsid w:val="00652D7C"/>
    <w:rsid w:val="00652E2F"/>
    <w:rsid w:val="006535EC"/>
    <w:rsid w:val="00653DCB"/>
    <w:rsid w:val="00653F4E"/>
    <w:rsid w:val="0065430D"/>
    <w:rsid w:val="00654A95"/>
    <w:rsid w:val="00655295"/>
    <w:rsid w:val="006552CF"/>
    <w:rsid w:val="00655733"/>
    <w:rsid w:val="00655ACD"/>
    <w:rsid w:val="00656A92"/>
    <w:rsid w:val="00656DDE"/>
    <w:rsid w:val="006571C0"/>
    <w:rsid w:val="00657617"/>
    <w:rsid w:val="00657E14"/>
    <w:rsid w:val="0066011D"/>
    <w:rsid w:val="006607C0"/>
    <w:rsid w:val="006613A6"/>
    <w:rsid w:val="00661E84"/>
    <w:rsid w:val="00661F56"/>
    <w:rsid w:val="006627A2"/>
    <w:rsid w:val="0066294D"/>
    <w:rsid w:val="006634E6"/>
    <w:rsid w:val="00663DC5"/>
    <w:rsid w:val="006645D4"/>
    <w:rsid w:val="00665269"/>
    <w:rsid w:val="006655EE"/>
    <w:rsid w:val="006656BD"/>
    <w:rsid w:val="00665CA0"/>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218F"/>
    <w:rsid w:val="00672549"/>
    <w:rsid w:val="006741F2"/>
    <w:rsid w:val="00674CC3"/>
    <w:rsid w:val="0067528F"/>
    <w:rsid w:val="00675993"/>
    <w:rsid w:val="00675B4B"/>
    <w:rsid w:val="00675C43"/>
    <w:rsid w:val="00675C72"/>
    <w:rsid w:val="00676681"/>
    <w:rsid w:val="00676DA0"/>
    <w:rsid w:val="006771F9"/>
    <w:rsid w:val="006776D7"/>
    <w:rsid w:val="00677B52"/>
    <w:rsid w:val="0068034D"/>
    <w:rsid w:val="006806FA"/>
    <w:rsid w:val="00681003"/>
    <w:rsid w:val="006813F4"/>
    <w:rsid w:val="0068174B"/>
    <w:rsid w:val="006817C9"/>
    <w:rsid w:val="0068180E"/>
    <w:rsid w:val="00682826"/>
    <w:rsid w:val="00682D35"/>
    <w:rsid w:val="00683EBD"/>
    <w:rsid w:val="00683ECE"/>
    <w:rsid w:val="00683F8F"/>
    <w:rsid w:val="0068411C"/>
    <w:rsid w:val="00684288"/>
    <w:rsid w:val="00684888"/>
    <w:rsid w:val="00684BC5"/>
    <w:rsid w:val="00684C80"/>
    <w:rsid w:val="00685A6A"/>
    <w:rsid w:val="00685DDA"/>
    <w:rsid w:val="00686065"/>
    <w:rsid w:val="00686707"/>
    <w:rsid w:val="0068671A"/>
    <w:rsid w:val="00686EDF"/>
    <w:rsid w:val="006871E3"/>
    <w:rsid w:val="00690B63"/>
    <w:rsid w:val="00690D53"/>
    <w:rsid w:val="00690E10"/>
    <w:rsid w:val="006912B6"/>
    <w:rsid w:val="006915B0"/>
    <w:rsid w:val="006918E2"/>
    <w:rsid w:val="00692709"/>
    <w:rsid w:val="00693791"/>
    <w:rsid w:val="00693FFC"/>
    <w:rsid w:val="0069408A"/>
    <w:rsid w:val="00694B8A"/>
    <w:rsid w:val="00694EA1"/>
    <w:rsid w:val="00695CAA"/>
    <w:rsid w:val="00695FC2"/>
    <w:rsid w:val="00695FF2"/>
    <w:rsid w:val="00696949"/>
    <w:rsid w:val="00696B14"/>
    <w:rsid w:val="00697052"/>
    <w:rsid w:val="006974FC"/>
    <w:rsid w:val="006A0004"/>
    <w:rsid w:val="006A05E6"/>
    <w:rsid w:val="006A0A89"/>
    <w:rsid w:val="006A102C"/>
    <w:rsid w:val="006A17F3"/>
    <w:rsid w:val="006A1EB1"/>
    <w:rsid w:val="006A20CE"/>
    <w:rsid w:val="006A2356"/>
    <w:rsid w:val="006A25FF"/>
    <w:rsid w:val="006A296B"/>
    <w:rsid w:val="006A30D0"/>
    <w:rsid w:val="006A3797"/>
    <w:rsid w:val="006A46FB"/>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E92"/>
    <w:rsid w:val="006B109B"/>
    <w:rsid w:val="006B1816"/>
    <w:rsid w:val="006B1A6C"/>
    <w:rsid w:val="006B1EA8"/>
    <w:rsid w:val="006B2099"/>
    <w:rsid w:val="006B22C9"/>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5AE"/>
    <w:rsid w:val="006C1D55"/>
    <w:rsid w:val="006C23E5"/>
    <w:rsid w:val="006C34AF"/>
    <w:rsid w:val="006C48F7"/>
    <w:rsid w:val="006C5085"/>
    <w:rsid w:val="006C51C8"/>
    <w:rsid w:val="006C52A2"/>
    <w:rsid w:val="006C5B78"/>
    <w:rsid w:val="006C5EC9"/>
    <w:rsid w:val="006C6059"/>
    <w:rsid w:val="006C61A8"/>
    <w:rsid w:val="006C66C6"/>
    <w:rsid w:val="006C6B8F"/>
    <w:rsid w:val="006C72A2"/>
    <w:rsid w:val="006C7522"/>
    <w:rsid w:val="006C7B7B"/>
    <w:rsid w:val="006C7FE8"/>
    <w:rsid w:val="006C7FFE"/>
    <w:rsid w:val="006D03E6"/>
    <w:rsid w:val="006D072A"/>
    <w:rsid w:val="006D0A11"/>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D3B"/>
    <w:rsid w:val="006F1803"/>
    <w:rsid w:val="006F1AB6"/>
    <w:rsid w:val="006F1B70"/>
    <w:rsid w:val="006F2B1D"/>
    <w:rsid w:val="006F2E82"/>
    <w:rsid w:val="006F3131"/>
    <w:rsid w:val="006F341D"/>
    <w:rsid w:val="006F3CDE"/>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E7E"/>
    <w:rsid w:val="00704EDB"/>
    <w:rsid w:val="00705068"/>
    <w:rsid w:val="007050FB"/>
    <w:rsid w:val="00705442"/>
    <w:rsid w:val="0070557E"/>
    <w:rsid w:val="007055C3"/>
    <w:rsid w:val="00706101"/>
    <w:rsid w:val="00706388"/>
    <w:rsid w:val="00706A45"/>
    <w:rsid w:val="00706C3C"/>
    <w:rsid w:val="00706CF4"/>
    <w:rsid w:val="00707072"/>
    <w:rsid w:val="007073E5"/>
    <w:rsid w:val="007079B8"/>
    <w:rsid w:val="00707A81"/>
    <w:rsid w:val="00707D61"/>
    <w:rsid w:val="00710823"/>
    <w:rsid w:val="0071176C"/>
    <w:rsid w:val="0071180F"/>
    <w:rsid w:val="00712287"/>
    <w:rsid w:val="00712772"/>
    <w:rsid w:val="007128CA"/>
    <w:rsid w:val="00712BD4"/>
    <w:rsid w:val="00714299"/>
    <w:rsid w:val="007148D3"/>
    <w:rsid w:val="00714D87"/>
    <w:rsid w:val="00714F08"/>
    <w:rsid w:val="0071515D"/>
    <w:rsid w:val="00715B93"/>
    <w:rsid w:val="00715B9A"/>
    <w:rsid w:val="00715FD6"/>
    <w:rsid w:val="0071714D"/>
    <w:rsid w:val="00717260"/>
    <w:rsid w:val="007218DB"/>
    <w:rsid w:val="00722573"/>
    <w:rsid w:val="007229C9"/>
    <w:rsid w:val="007229F9"/>
    <w:rsid w:val="00723EEA"/>
    <w:rsid w:val="00724410"/>
    <w:rsid w:val="00724935"/>
    <w:rsid w:val="00724D2C"/>
    <w:rsid w:val="007257D0"/>
    <w:rsid w:val="00725B20"/>
    <w:rsid w:val="00725F02"/>
    <w:rsid w:val="007262D5"/>
    <w:rsid w:val="00726EA6"/>
    <w:rsid w:val="00727208"/>
    <w:rsid w:val="007275BD"/>
    <w:rsid w:val="00727680"/>
    <w:rsid w:val="0073053B"/>
    <w:rsid w:val="0073078C"/>
    <w:rsid w:val="007311B2"/>
    <w:rsid w:val="00732648"/>
    <w:rsid w:val="00732A61"/>
    <w:rsid w:val="00732DC0"/>
    <w:rsid w:val="00733DF6"/>
    <w:rsid w:val="00733E01"/>
    <w:rsid w:val="00733FCD"/>
    <w:rsid w:val="0073415A"/>
    <w:rsid w:val="007345F8"/>
    <w:rsid w:val="007348B1"/>
    <w:rsid w:val="00734FF7"/>
    <w:rsid w:val="00735A51"/>
    <w:rsid w:val="00735B10"/>
    <w:rsid w:val="007362A6"/>
    <w:rsid w:val="007365E4"/>
    <w:rsid w:val="00736D7D"/>
    <w:rsid w:val="0073715D"/>
    <w:rsid w:val="007374CD"/>
    <w:rsid w:val="00737C03"/>
    <w:rsid w:val="00740E58"/>
    <w:rsid w:val="0074136F"/>
    <w:rsid w:val="00741ABD"/>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B88"/>
    <w:rsid w:val="00757E2F"/>
    <w:rsid w:val="007604B2"/>
    <w:rsid w:val="00760B26"/>
    <w:rsid w:val="0076166B"/>
    <w:rsid w:val="007619EC"/>
    <w:rsid w:val="00761EA0"/>
    <w:rsid w:val="0076200E"/>
    <w:rsid w:val="0076221D"/>
    <w:rsid w:val="0076233E"/>
    <w:rsid w:val="0076272F"/>
    <w:rsid w:val="00762883"/>
    <w:rsid w:val="00762AFD"/>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3986"/>
    <w:rsid w:val="007749A8"/>
    <w:rsid w:val="00774FB1"/>
    <w:rsid w:val="007755F2"/>
    <w:rsid w:val="00776078"/>
    <w:rsid w:val="0077628D"/>
    <w:rsid w:val="00776971"/>
    <w:rsid w:val="007805B8"/>
    <w:rsid w:val="00780A80"/>
    <w:rsid w:val="00780A89"/>
    <w:rsid w:val="0078115A"/>
    <w:rsid w:val="0078177E"/>
    <w:rsid w:val="0078183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EB1"/>
    <w:rsid w:val="007A306F"/>
    <w:rsid w:val="007A3429"/>
    <w:rsid w:val="007A3628"/>
    <w:rsid w:val="007A395F"/>
    <w:rsid w:val="007A43A6"/>
    <w:rsid w:val="007A4797"/>
    <w:rsid w:val="007A4AA7"/>
    <w:rsid w:val="007A4DBE"/>
    <w:rsid w:val="007A58A6"/>
    <w:rsid w:val="007A5CC1"/>
    <w:rsid w:val="007A5E11"/>
    <w:rsid w:val="007A62AE"/>
    <w:rsid w:val="007A62B7"/>
    <w:rsid w:val="007A699D"/>
    <w:rsid w:val="007A6CF5"/>
    <w:rsid w:val="007B02CB"/>
    <w:rsid w:val="007B05D6"/>
    <w:rsid w:val="007B1179"/>
    <w:rsid w:val="007B1DF4"/>
    <w:rsid w:val="007B326A"/>
    <w:rsid w:val="007B35B2"/>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39"/>
    <w:rsid w:val="007C1875"/>
    <w:rsid w:val="007C1A5A"/>
    <w:rsid w:val="007C1E45"/>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408"/>
    <w:rsid w:val="007D1A03"/>
    <w:rsid w:val="007D2E4D"/>
    <w:rsid w:val="007D31CB"/>
    <w:rsid w:val="007D412E"/>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F7C"/>
    <w:rsid w:val="007E4610"/>
    <w:rsid w:val="007E4715"/>
    <w:rsid w:val="007E4945"/>
    <w:rsid w:val="007E505B"/>
    <w:rsid w:val="007E57CB"/>
    <w:rsid w:val="007E688A"/>
    <w:rsid w:val="007E7091"/>
    <w:rsid w:val="007E7EDF"/>
    <w:rsid w:val="007F08CF"/>
    <w:rsid w:val="007F1D10"/>
    <w:rsid w:val="007F2C31"/>
    <w:rsid w:val="007F3D9C"/>
    <w:rsid w:val="007F4A63"/>
    <w:rsid w:val="007F4B2D"/>
    <w:rsid w:val="007F4B9B"/>
    <w:rsid w:val="007F4D47"/>
    <w:rsid w:val="007F4DE4"/>
    <w:rsid w:val="007F4FA6"/>
    <w:rsid w:val="007F6300"/>
    <w:rsid w:val="007F654F"/>
    <w:rsid w:val="007F665B"/>
    <w:rsid w:val="007F6B7E"/>
    <w:rsid w:val="007F793A"/>
    <w:rsid w:val="00800464"/>
    <w:rsid w:val="0080060F"/>
    <w:rsid w:val="00800747"/>
    <w:rsid w:val="00801A75"/>
    <w:rsid w:val="00801AA6"/>
    <w:rsid w:val="00801E74"/>
    <w:rsid w:val="00802014"/>
    <w:rsid w:val="008027C6"/>
    <w:rsid w:val="0080287A"/>
    <w:rsid w:val="00802B53"/>
    <w:rsid w:val="00802DC4"/>
    <w:rsid w:val="0080392C"/>
    <w:rsid w:val="00803C2C"/>
    <w:rsid w:val="00803FAE"/>
    <w:rsid w:val="0080551D"/>
    <w:rsid w:val="00805A16"/>
    <w:rsid w:val="00805A61"/>
    <w:rsid w:val="0080605F"/>
    <w:rsid w:val="00806C0F"/>
    <w:rsid w:val="00806CCD"/>
    <w:rsid w:val="0080761E"/>
    <w:rsid w:val="00807786"/>
    <w:rsid w:val="0081050A"/>
    <w:rsid w:val="00810A0E"/>
    <w:rsid w:val="008112D6"/>
    <w:rsid w:val="008113E8"/>
    <w:rsid w:val="00811809"/>
    <w:rsid w:val="00811BC9"/>
    <w:rsid w:val="00811CD7"/>
    <w:rsid w:val="00811DBA"/>
    <w:rsid w:val="00811FCB"/>
    <w:rsid w:val="008122B9"/>
    <w:rsid w:val="00812518"/>
    <w:rsid w:val="00812559"/>
    <w:rsid w:val="0081279C"/>
    <w:rsid w:val="008128BD"/>
    <w:rsid w:val="00813269"/>
    <w:rsid w:val="00814283"/>
    <w:rsid w:val="00814645"/>
    <w:rsid w:val="0081481C"/>
    <w:rsid w:val="00814DA2"/>
    <w:rsid w:val="0081527F"/>
    <w:rsid w:val="008158D6"/>
    <w:rsid w:val="00815B5D"/>
    <w:rsid w:val="00815CA7"/>
    <w:rsid w:val="00816B70"/>
    <w:rsid w:val="00817196"/>
    <w:rsid w:val="0081757A"/>
    <w:rsid w:val="008204A0"/>
    <w:rsid w:val="008208E1"/>
    <w:rsid w:val="008212A7"/>
    <w:rsid w:val="00821F6D"/>
    <w:rsid w:val="00822BA2"/>
    <w:rsid w:val="00822EC0"/>
    <w:rsid w:val="00823472"/>
    <w:rsid w:val="008235DB"/>
    <w:rsid w:val="008237B0"/>
    <w:rsid w:val="00823897"/>
    <w:rsid w:val="008242B5"/>
    <w:rsid w:val="008247A1"/>
    <w:rsid w:val="00824AB4"/>
    <w:rsid w:val="00825C42"/>
    <w:rsid w:val="00825D25"/>
    <w:rsid w:val="00826356"/>
    <w:rsid w:val="008263A0"/>
    <w:rsid w:val="00826AA9"/>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2129"/>
    <w:rsid w:val="00832148"/>
    <w:rsid w:val="00832653"/>
    <w:rsid w:val="00833219"/>
    <w:rsid w:val="008336E8"/>
    <w:rsid w:val="00833953"/>
    <w:rsid w:val="00835923"/>
    <w:rsid w:val="008359D5"/>
    <w:rsid w:val="00835F53"/>
    <w:rsid w:val="00836173"/>
    <w:rsid w:val="008366F2"/>
    <w:rsid w:val="00836BD8"/>
    <w:rsid w:val="008376AC"/>
    <w:rsid w:val="0083789F"/>
    <w:rsid w:val="008378D2"/>
    <w:rsid w:val="00837CDB"/>
    <w:rsid w:val="00837CF4"/>
    <w:rsid w:val="00840599"/>
    <w:rsid w:val="00840647"/>
    <w:rsid w:val="0084086C"/>
    <w:rsid w:val="00841093"/>
    <w:rsid w:val="00841541"/>
    <w:rsid w:val="00842BCA"/>
    <w:rsid w:val="00842FFC"/>
    <w:rsid w:val="00843099"/>
    <w:rsid w:val="008434E1"/>
    <w:rsid w:val="008444E8"/>
    <w:rsid w:val="00844521"/>
    <w:rsid w:val="00844D4B"/>
    <w:rsid w:val="00844E80"/>
    <w:rsid w:val="008453B3"/>
    <w:rsid w:val="0084621E"/>
    <w:rsid w:val="0084699C"/>
    <w:rsid w:val="00846CDE"/>
    <w:rsid w:val="00846FE7"/>
    <w:rsid w:val="0084726E"/>
    <w:rsid w:val="00847745"/>
    <w:rsid w:val="008503F0"/>
    <w:rsid w:val="0085099B"/>
    <w:rsid w:val="00850CD3"/>
    <w:rsid w:val="00851DCF"/>
    <w:rsid w:val="00852862"/>
    <w:rsid w:val="0085384C"/>
    <w:rsid w:val="00853EA3"/>
    <w:rsid w:val="008540F7"/>
    <w:rsid w:val="008554D4"/>
    <w:rsid w:val="00856877"/>
    <w:rsid w:val="00856911"/>
    <w:rsid w:val="008575BF"/>
    <w:rsid w:val="00857664"/>
    <w:rsid w:val="00860009"/>
    <w:rsid w:val="008601A1"/>
    <w:rsid w:val="00860B55"/>
    <w:rsid w:val="00861994"/>
    <w:rsid w:val="00861D3D"/>
    <w:rsid w:val="00861E50"/>
    <w:rsid w:val="008620BF"/>
    <w:rsid w:val="00862487"/>
    <w:rsid w:val="008624D6"/>
    <w:rsid w:val="008627B2"/>
    <w:rsid w:val="00862B31"/>
    <w:rsid w:val="00863330"/>
    <w:rsid w:val="0086336C"/>
    <w:rsid w:val="008641D8"/>
    <w:rsid w:val="00864523"/>
    <w:rsid w:val="0086470B"/>
    <w:rsid w:val="0086477F"/>
    <w:rsid w:val="00864D9C"/>
    <w:rsid w:val="008657B6"/>
    <w:rsid w:val="00865C51"/>
    <w:rsid w:val="00865F2A"/>
    <w:rsid w:val="00866FC8"/>
    <w:rsid w:val="008676FD"/>
    <w:rsid w:val="008677FD"/>
    <w:rsid w:val="0086790C"/>
    <w:rsid w:val="00867BDF"/>
    <w:rsid w:val="008701ED"/>
    <w:rsid w:val="008706D4"/>
    <w:rsid w:val="008709A9"/>
    <w:rsid w:val="00870B0E"/>
    <w:rsid w:val="00870F8A"/>
    <w:rsid w:val="0087104B"/>
    <w:rsid w:val="008719A0"/>
    <w:rsid w:val="008719A4"/>
    <w:rsid w:val="00871D23"/>
    <w:rsid w:val="00872CB2"/>
    <w:rsid w:val="00872DB2"/>
    <w:rsid w:val="00872FAA"/>
    <w:rsid w:val="0087310D"/>
    <w:rsid w:val="008731FE"/>
    <w:rsid w:val="00873EC4"/>
    <w:rsid w:val="00874312"/>
    <w:rsid w:val="0087437C"/>
    <w:rsid w:val="00874ACE"/>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F3E"/>
    <w:rsid w:val="00883062"/>
    <w:rsid w:val="00883C12"/>
    <w:rsid w:val="0088498E"/>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ED2"/>
    <w:rsid w:val="008A21FF"/>
    <w:rsid w:val="008A27A4"/>
    <w:rsid w:val="008A2CE2"/>
    <w:rsid w:val="008A30AC"/>
    <w:rsid w:val="008A44B8"/>
    <w:rsid w:val="008A48F1"/>
    <w:rsid w:val="008A51A8"/>
    <w:rsid w:val="008A51AD"/>
    <w:rsid w:val="008A54C7"/>
    <w:rsid w:val="008A550B"/>
    <w:rsid w:val="008A56F6"/>
    <w:rsid w:val="008A6A49"/>
    <w:rsid w:val="008A6C71"/>
    <w:rsid w:val="008A6E9C"/>
    <w:rsid w:val="008A71FC"/>
    <w:rsid w:val="008A77D8"/>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3B5E"/>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6D1A"/>
    <w:rsid w:val="008D7E4B"/>
    <w:rsid w:val="008E065E"/>
    <w:rsid w:val="008E0927"/>
    <w:rsid w:val="008E1909"/>
    <w:rsid w:val="008E1CED"/>
    <w:rsid w:val="008E1D1A"/>
    <w:rsid w:val="008E2E1C"/>
    <w:rsid w:val="008E35A3"/>
    <w:rsid w:val="008E3F73"/>
    <w:rsid w:val="008E4B90"/>
    <w:rsid w:val="008E50E4"/>
    <w:rsid w:val="008E5D92"/>
    <w:rsid w:val="008E6BAA"/>
    <w:rsid w:val="008E6DF5"/>
    <w:rsid w:val="008E7001"/>
    <w:rsid w:val="008E7050"/>
    <w:rsid w:val="008F01A6"/>
    <w:rsid w:val="008F07E5"/>
    <w:rsid w:val="008F1C0C"/>
    <w:rsid w:val="008F1C4E"/>
    <w:rsid w:val="008F1EAB"/>
    <w:rsid w:val="008F220A"/>
    <w:rsid w:val="008F244C"/>
    <w:rsid w:val="008F2CAC"/>
    <w:rsid w:val="008F312C"/>
    <w:rsid w:val="008F33DC"/>
    <w:rsid w:val="008F3577"/>
    <w:rsid w:val="008F3E40"/>
    <w:rsid w:val="008F40E2"/>
    <w:rsid w:val="008F4340"/>
    <w:rsid w:val="008F44BA"/>
    <w:rsid w:val="008F46AA"/>
    <w:rsid w:val="008F477F"/>
    <w:rsid w:val="008F4CF1"/>
    <w:rsid w:val="008F68A5"/>
    <w:rsid w:val="008F6F45"/>
    <w:rsid w:val="008F7013"/>
    <w:rsid w:val="008F7B83"/>
    <w:rsid w:val="008F7CAD"/>
    <w:rsid w:val="0090011D"/>
    <w:rsid w:val="0090073D"/>
    <w:rsid w:val="0090133E"/>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E3B"/>
    <w:rsid w:val="009070D1"/>
    <w:rsid w:val="00907215"/>
    <w:rsid w:val="009072BD"/>
    <w:rsid w:val="00907546"/>
    <w:rsid w:val="0090782F"/>
    <w:rsid w:val="00910330"/>
    <w:rsid w:val="00910B7D"/>
    <w:rsid w:val="0091165E"/>
    <w:rsid w:val="00911DFB"/>
    <w:rsid w:val="009126AF"/>
    <w:rsid w:val="00913114"/>
    <w:rsid w:val="009131C5"/>
    <w:rsid w:val="009131FF"/>
    <w:rsid w:val="00913638"/>
    <w:rsid w:val="009139D9"/>
    <w:rsid w:val="00913FC0"/>
    <w:rsid w:val="00914587"/>
    <w:rsid w:val="0091497A"/>
    <w:rsid w:val="00914AD8"/>
    <w:rsid w:val="00914EDC"/>
    <w:rsid w:val="00915512"/>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CF5"/>
    <w:rsid w:val="0092413D"/>
    <w:rsid w:val="00925006"/>
    <w:rsid w:val="00925429"/>
    <w:rsid w:val="00925D3B"/>
    <w:rsid w:val="00925F68"/>
    <w:rsid w:val="0092679B"/>
    <w:rsid w:val="00926BB7"/>
    <w:rsid w:val="00926F07"/>
    <w:rsid w:val="00926F8A"/>
    <w:rsid w:val="00927974"/>
    <w:rsid w:val="00927AA6"/>
    <w:rsid w:val="00927C18"/>
    <w:rsid w:val="00927E84"/>
    <w:rsid w:val="00930221"/>
    <w:rsid w:val="00930340"/>
    <w:rsid w:val="0093062E"/>
    <w:rsid w:val="009311DC"/>
    <w:rsid w:val="00931B0F"/>
    <w:rsid w:val="00931B3A"/>
    <w:rsid w:val="00931BD9"/>
    <w:rsid w:val="00931D65"/>
    <w:rsid w:val="00931F11"/>
    <w:rsid w:val="00931FC7"/>
    <w:rsid w:val="009324C4"/>
    <w:rsid w:val="00932D2D"/>
    <w:rsid w:val="00932DF8"/>
    <w:rsid w:val="00933A29"/>
    <w:rsid w:val="00933A57"/>
    <w:rsid w:val="00934334"/>
    <w:rsid w:val="00934365"/>
    <w:rsid w:val="00934839"/>
    <w:rsid w:val="0093502C"/>
    <w:rsid w:val="00935133"/>
    <w:rsid w:val="00935577"/>
    <w:rsid w:val="009355C2"/>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98E"/>
    <w:rsid w:val="00944E13"/>
    <w:rsid w:val="00945556"/>
    <w:rsid w:val="009456C6"/>
    <w:rsid w:val="00945AD6"/>
    <w:rsid w:val="00945C05"/>
    <w:rsid w:val="009468FF"/>
    <w:rsid w:val="00946945"/>
    <w:rsid w:val="0094722D"/>
    <w:rsid w:val="0094740A"/>
    <w:rsid w:val="00947713"/>
    <w:rsid w:val="00947F1E"/>
    <w:rsid w:val="0095012A"/>
    <w:rsid w:val="00950C5E"/>
    <w:rsid w:val="00950DE7"/>
    <w:rsid w:val="00950E0F"/>
    <w:rsid w:val="00951B1F"/>
    <w:rsid w:val="0095271D"/>
    <w:rsid w:val="0095306B"/>
    <w:rsid w:val="00953523"/>
    <w:rsid w:val="009538F5"/>
    <w:rsid w:val="00953920"/>
    <w:rsid w:val="00953D47"/>
    <w:rsid w:val="00953ED3"/>
    <w:rsid w:val="00954AB3"/>
    <w:rsid w:val="00955ED4"/>
    <w:rsid w:val="00956021"/>
    <w:rsid w:val="0095681E"/>
    <w:rsid w:val="009572D4"/>
    <w:rsid w:val="00957C4E"/>
    <w:rsid w:val="00957C99"/>
    <w:rsid w:val="00957CC0"/>
    <w:rsid w:val="00960A1F"/>
    <w:rsid w:val="00960C4D"/>
    <w:rsid w:val="0096138E"/>
    <w:rsid w:val="00961921"/>
    <w:rsid w:val="00961EF9"/>
    <w:rsid w:val="0096201B"/>
    <w:rsid w:val="009620D3"/>
    <w:rsid w:val="00962905"/>
    <w:rsid w:val="009633B9"/>
    <w:rsid w:val="009639B4"/>
    <w:rsid w:val="009640DA"/>
    <w:rsid w:val="0096430A"/>
    <w:rsid w:val="00964611"/>
    <w:rsid w:val="00965173"/>
    <w:rsid w:val="009651C1"/>
    <w:rsid w:val="0096554B"/>
    <w:rsid w:val="0096584A"/>
    <w:rsid w:val="009660F3"/>
    <w:rsid w:val="009664BF"/>
    <w:rsid w:val="0096652E"/>
    <w:rsid w:val="0096693C"/>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4D7E"/>
    <w:rsid w:val="0097513C"/>
    <w:rsid w:val="009753D2"/>
    <w:rsid w:val="00975666"/>
    <w:rsid w:val="009756D3"/>
    <w:rsid w:val="00975CC3"/>
    <w:rsid w:val="0097603D"/>
    <w:rsid w:val="009761A6"/>
    <w:rsid w:val="00976492"/>
    <w:rsid w:val="00976949"/>
    <w:rsid w:val="00977069"/>
    <w:rsid w:val="00977F53"/>
    <w:rsid w:val="009800E8"/>
    <w:rsid w:val="00980477"/>
    <w:rsid w:val="009806E8"/>
    <w:rsid w:val="009807F0"/>
    <w:rsid w:val="00980B16"/>
    <w:rsid w:val="00980B60"/>
    <w:rsid w:val="00980DC4"/>
    <w:rsid w:val="00981191"/>
    <w:rsid w:val="00981BC4"/>
    <w:rsid w:val="0098286C"/>
    <w:rsid w:val="00982A71"/>
    <w:rsid w:val="00982F06"/>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B84"/>
    <w:rsid w:val="009A0FBA"/>
    <w:rsid w:val="009A1601"/>
    <w:rsid w:val="009A197A"/>
    <w:rsid w:val="009A1CA4"/>
    <w:rsid w:val="009A1ED4"/>
    <w:rsid w:val="009A2C07"/>
    <w:rsid w:val="009A3016"/>
    <w:rsid w:val="009A3BB6"/>
    <w:rsid w:val="009A462D"/>
    <w:rsid w:val="009A4A6C"/>
    <w:rsid w:val="009A4F92"/>
    <w:rsid w:val="009A50FE"/>
    <w:rsid w:val="009A5A1C"/>
    <w:rsid w:val="009A5CBA"/>
    <w:rsid w:val="009A64A4"/>
    <w:rsid w:val="009A64D0"/>
    <w:rsid w:val="009A6F2F"/>
    <w:rsid w:val="009A74A0"/>
    <w:rsid w:val="009A7640"/>
    <w:rsid w:val="009A7AD5"/>
    <w:rsid w:val="009A7AE7"/>
    <w:rsid w:val="009A7E6D"/>
    <w:rsid w:val="009B01D0"/>
    <w:rsid w:val="009B0309"/>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84E"/>
    <w:rsid w:val="009B754C"/>
    <w:rsid w:val="009B79C0"/>
    <w:rsid w:val="009B7E87"/>
    <w:rsid w:val="009C0169"/>
    <w:rsid w:val="009C0179"/>
    <w:rsid w:val="009C089C"/>
    <w:rsid w:val="009C107A"/>
    <w:rsid w:val="009C1679"/>
    <w:rsid w:val="009C2037"/>
    <w:rsid w:val="009C241D"/>
    <w:rsid w:val="009C251B"/>
    <w:rsid w:val="009C27DD"/>
    <w:rsid w:val="009C2C93"/>
    <w:rsid w:val="009C3BBB"/>
    <w:rsid w:val="009C403E"/>
    <w:rsid w:val="009C521D"/>
    <w:rsid w:val="009C5E79"/>
    <w:rsid w:val="009C605A"/>
    <w:rsid w:val="009C6D3C"/>
    <w:rsid w:val="009C6DEA"/>
    <w:rsid w:val="009C770F"/>
    <w:rsid w:val="009C781A"/>
    <w:rsid w:val="009D037C"/>
    <w:rsid w:val="009D03C8"/>
    <w:rsid w:val="009D05DA"/>
    <w:rsid w:val="009D1513"/>
    <w:rsid w:val="009D2A46"/>
    <w:rsid w:val="009D48F3"/>
    <w:rsid w:val="009D4919"/>
    <w:rsid w:val="009D4FF0"/>
    <w:rsid w:val="009D5FBA"/>
    <w:rsid w:val="009D6A63"/>
    <w:rsid w:val="009D703C"/>
    <w:rsid w:val="009D718F"/>
    <w:rsid w:val="009D7AB8"/>
    <w:rsid w:val="009E0662"/>
    <w:rsid w:val="009E068F"/>
    <w:rsid w:val="009E0FE9"/>
    <w:rsid w:val="009E1261"/>
    <w:rsid w:val="009E14E0"/>
    <w:rsid w:val="009E1690"/>
    <w:rsid w:val="009E1734"/>
    <w:rsid w:val="009E1D55"/>
    <w:rsid w:val="009E2563"/>
    <w:rsid w:val="009E35DB"/>
    <w:rsid w:val="009E360E"/>
    <w:rsid w:val="009E3B46"/>
    <w:rsid w:val="009E40BC"/>
    <w:rsid w:val="009E43A2"/>
    <w:rsid w:val="009E47A3"/>
    <w:rsid w:val="009E489F"/>
    <w:rsid w:val="009E519C"/>
    <w:rsid w:val="009E5990"/>
    <w:rsid w:val="009E5ACA"/>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344F"/>
    <w:rsid w:val="009F35F8"/>
    <w:rsid w:val="009F4549"/>
    <w:rsid w:val="009F47B4"/>
    <w:rsid w:val="009F51E0"/>
    <w:rsid w:val="009F51E5"/>
    <w:rsid w:val="009F5871"/>
    <w:rsid w:val="009F5BE4"/>
    <w:rsid w:val="009F6679"/>
    <w:rsid w:val="009F73C2"/>
    <w:rsid w:val="009F781B"/>
    <w:rsid w:val="00A001CB"/>
    <w:rsid w:val="00A0029B"/>
    <w:rsid w:val="00A00456"/>
    <w:rsid w:val="00A00EC6"/>
    <w:rsid w:val="00A014B0"/>
    <w:rsid w:val="00A01D9F"/>
    <w:rsid w:val="00A02199"/>
    <w:rsid w:val="00A02AA6"/>
    <w:rsid w:val="00A031D8"/>
    <w:rsid w:val="00A03284"/>
    <w:rsid w:val="00A0375C"/>
    <w:rsid w:val="00A03C1B"/>
    <w:rsid w:val="00A041E4"/>
    <w:rsid w:val="00A04659"/>
    <w:rsid w:val="00A048A8"/>
    <w:rsid w:val="00A04AC4"/>
    <w:rsid w:val="00A04F49"/>
    <w:rsid w:val="00A05CEF"/>
    <w:rsid w:val="00A05F2D"/>
    <w:rsid w:val="00A0787B"/>
    <w:rsid w:val="00A07A43"/>
    <w:rsid w:val="00A105C1"/>
    <w:rsid w:val="00A1079D"/>
    <w:rsid w:val="00A1098C"/>
    <w:rsid w:val="00A10991"/>
    <w:rsid w:val="00A12390"/>
    <w:rsid w:val="00A1352A"/>
    <w:rsid w:val="00A136D1"/>
    <w:rsid w:val="00A13E54"/>
    <w:rsid w:val="00A13F97"/>
    <w:rsid w:val="00A14031"/>
    <w:rsid w:val="00A141EA"/>
    <w:rsid w:val="00A167D8"/>
    <w:rsid w:val="00A16C07"/>
    <w:rsid w:val="00A16C46"/>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351A"/>
    <w:rsid w:val="00A23B6E"/>
    <w:rsid w:val="00A23CAB"/>
    <w:rsid w:val="00A23E4D"/>
    <w:rsid w:val="00A24C32"/>
    <w:rsid w:val="00A24E0D"/>
    <w:rsid w:val="00A25138"/>
    <w:rsid w:val="00A2552E"/>
    <w:rsid w:val="00A264A9"/>
    <w:rsid w:val="00A264C1"/>
    <w:rsid w:val="00A269EC"/>
    <w:rsid w:val="00A26C82"/>
    <w:rsid w:val="00A26DCF"/>
    <w:rsid w:val="00A26E1D"/>
    <w:rsid w:val="00A26EDC"/>
    <w:rsid w:val="00A27275"/>
    <w:rsid w:val="00A27785"/>
    <w:rsid w:val="00A30187"/>
    <w:rsid w:val="00A30538"/>
    <w:rsid w:val="00A30A03"/>
    <w:rsid w:val="00A31057"/>
    <w:rsid w:val="00A311C2"/>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5075"/>
    <w:rsid w:val="00A45404"/>
    <w:rsid w:val="00A45B10"/>
    <w:rsid w:val="00A45B74"/>
    <w:rsid w:val="00A469C0"/>
    <w:rsid w:val="00A46A07"/>
    <w:rsid w:val="00A46B7B"/>
    <w:rsid w:val="00A470FC"/>
    <w:rsid w:val="00A4761F"/>
    <w:rsid w:val="00A47D50"/>
    <w:rsid w:val="00A501FC"/>
    <w:rsid w:val="00A50787"/>
    <w:rsid w:val="00A5083F"/>
    <w:rsid w:val="00A509FE"/>
    <w:rsid w:val="00A50EF6"/>
    <w:rsid w:val="00A51174"/>
    <w:rsid w:val="00A51324"/>
    <w:rsid w:val="00A51754"/>
    <w:rsid w:val="00A51B25"/>
    <w:rsid w:val="00A51D8C"/>
    <w:rsid w:val="00A51DCF"/>
    <w:rsid w:val="00A52094"/>
    <w:rsid w:val="00A520E7"/>
    <w:rsid w:val="00A529F4"/>
    <w:rsid w:val="00A52E1D"/>
    <w:rsid w:val="00A52E5C"/>
    <w:rsid w:val="00A5301A"/>
    <w:rsid w:val="00A53B84"/>
    <w:rsid w:val="00A54415"/>
    <w:rsid w:val="00A54A85"/>
    <w:rsid w:val="00A55873"/>
    <w:rsid w:val="00A55DBF"/>
    <w:rsid w:val="00A579CE"/>
    <w:rsid w:val="00A609D2"/>
    <w:rsid w:val="00A61499"/>
    <w:rsid w:val="00A61757"/>
    <w:rsid w:val="00A619BA"/>
    <w:rsid w:val="00A61AB8"/>
    <w:rsid w:val="00A61B44"/>
    <w:rsid w:val="00A62266"/>
    <w:rsid w:val="00A62731"/>
    <w:rsid w:val="00A62A77"/>
    <w:rsid w:val="00A62D96"/>
    <w:rsid w:val="00A63483"/>
    <w:rsid w:val="00A649A4"/>
    <w:rsid w:val="00A64B28"/>
    <w:rsid w:val="00A64D39"/>
    <w:rsid w:val="00A657D7"/>
    <w:rsid w:val="00A65865"/>
    <w:rsid w:val="00A660AC"/>
    <w:rsid w:val="00A66174"/>
    <w:rsid w:val="00A663F0"/>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61D4"/>
    <w:rsid w:val="00A76457"/>
    <w:rsid w:val="00A76B59"/>
    <w:rsid w:val="00A7713D"/>
    <w:rsid w:val="00A77B08"/>
    <w:rsid w:val="00A77EC4"/>
    <w:rsid w:val="00A8085B"/>
    <w:rsid w:val="00A80C04"/>
    <w:rsid w:val="00A80DBC"/>
    <w:rsid w:val="00A819FF"/>
    <w:rsid w:val="00A81ADB"/>
    <w:rsid w:val="00A82394"/>
    <w:rsid w:val="00A824AA"/>
    <w:rsid w:val="00A82726"/>
    <w:rsid w:val="00A845EE"/>
    <w:rsid w:val="00A84630"/>
    <w:rsid w:val="00A8556B"/>
    <w:rsid w:val="00A85E0B"/>
    <w:rsid w:val="00A8608F"/>
    <w:rsid w:val="00A86138"/>
    <w:rsid w:val="00A8628C"/>
    <w:rsid w:val="00A863C5"/>
    <w:rsid w:val="00A86AD6"/>
    <w:rsid w:val="00A86CED"/>
    <w:rsid w:val="00A8755C"/>
    <w:rsid w:val="00A8772F"/>
    <w:rsid w:val="00A8795E"/>
    <w:rsid w:val="00A90255"/>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6354"/>
    <w:rsid w:val="00A96F07"/>
    <w:rsid w:val="00A9718A"/>
    <w:rsid w:val="00A973C6"/>
    <w:rsid w:val="00A9766B"/>
    <w:rsid w:val="00A977C2"/>
    <w:rsid w:val="00A978C2"/>
    <w:rsid w:val="00AA016F"/>
    <w:rsid w:val="00AA155B"/>
    <w:rsid w:val="00AA1B3E"/>
    <w:rsid w:val="00AA1ED6"/>
    <w:rsid w:val="00AA1EDF"/>
    <w:rsid w:val="00AA2195"/>
    <w:rsid w:val="00AA2638"/>
    <w:rsid w:val="00AA3DDC"/>
    <w:rsid w:val="00AA4846"/>
    <w:rsid w:val="00AA51D6"/>
    <w:rsid w:val="00AA5B37"/>
    <w:rsid w:val="00AA5E1B"/>
    <w:rsid w:val="00AA61CF"/>
    <w:rsid w:val="00AA63E3"/>
    <w:rsid w:val="00AA6AA6"/>
    <w:rsid w:val="00AA6DEC"/>
    <w:rsid w:val="00AA7006"/>
    <w:rsid w:val="00AA75B6"/>
    <w:rsid w:val="00AA7EBB"/>
    <w:rsid w:val="00AB00F2"/>
    <w:rsid w:val="00AB0BC8"/>
    <w:rsid w:val="00AB0F56"/>
    <w:rsid w:val="00AB1118"/>
    <w:rsid w:val="00AB11CA"/>
    <w:rsid w:val="00AB14D9"/>
    <w:rsid w:val="00AB14FB"/>
    <w:rsid w:val="00AB1A8A"/>
    <w:rsid w:val="00AB1CE1"/>
    <w:rsid w:val="00AB1DA6"/>
    <w:rsid w:val="00AB20A7"/>
    <w:rsid w:val="00AB3264"/>
    <w:rsid w:val="00AB332A"/>
    <w:rsid w:val="00AB40A4"/>
    <w:rsid w:val="00AB4749"/>
    <w:rsid w:val="00AB4AB8"/>
    <w:rsid w:val="00AB5608"/>
    <w:rsid w:val="00AB655E"/>
    <w:rsid w:val="00AB660A"/>
    <w:rsid w:val="00AB7997"/>
    <w:rsid w:val="00AC007F"/>
    <w:rsid w:val="00AC06F2"/>
    <w:rsid w:val="00AC0BD9"/>
    <w:rsid w:val="00AC1260"/>
    <w:rsid w:val="00AC18CD"/>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848"/>
    <w:rsid w:val="00AD5BC6"/>
    <w:rsid w:val="00AD6050"/>
    <w:rsid w:val="00AD660D"/>
    <w:rsid w:val="00AD782E"/>
    <w:rsid w:val="00AD7888"/>
    <w:rsid w:val="00AE07D4"/>
    <w:rsid w:val="00AE07F4"/>
    <w:rsid w:val="00AE09EB"/>
    <w:rsid w:val="00AE1053"/>
    <w:rsid w:val="00AE1260"/>
    <w:rsid w:val="00AE17B1"/>
    <w:rsid w:val="00AE18A4"/>
    <w:rsid w:val="00AE1C77"/>
    <w:rsid w:val="00AE27AC"/>
    <w:rsid w:val="00AE29DE"/>
    <w:rsid w:val="00AE2C1C"/>
    <w:rsid w:val="00AE32C4"/>
    <w:rsid w:val="00AE3CFC"/>
    <w:rsid w:val="00AE3D0A"/>
    <w:rsid w:val="00AE3E8C"/>
    <w:rsid w:val="00AE3F19"/>
    <w:rsid w:val="00AE40E0"/>
    <w:rsid w:val="00AE444E"/>
    <w:rsid w:val="00AE4B10"/>
    <w:rsid w:val="00AE4DBA"/>
    <w:rsid w:val="00AE4F07"/>
    <w:rsid w:val="00AE4F5C"/>
    <w:rsid w:val="00AE54F6"/>
    <w:rsid w:val="00AE5725"/>
    <w:rsid w:val="00AE5753"/>
    <w:rsid w:val="00AE5B0F"/>
    <w:rsid w:val="00AE5C58"/>
    <w:rsid w:val="00AE662F"/>
    <w:rsid w:val="00AE6CE8"/>
    <w:rsid w:val="00AE7A6E"/>
    <w:rsid w:val="00AE7FBF"/>
    <w:rsid w:val="00AF0FFF"/>
    <w:rsid w:val="00AF1C5D"/>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F61"/>
    <w:rsid w:val="00B006FE"/>
    <w:rsid w:val="00B007CB"/>
    <w:rsid w:val="00B008F8"/>
    <w:rsid w:val="00B02AA9"/>
    <w:rsid w:val="00B02FA3"/>
    <w:rsid w:val="00B03093"/>
    <w:rsid w:val="00B0348E"/>
    <w:rsid w:val="00B037D1"/>
    <w:rsid w:val="00B03C21"/>
    <w:rsid w:val="00B04158"/>
    <w:rsid w:val="00B04A86"/>
    <w:rsid w:val="00B04EBA"/>
    <w:rsid w:val="00B05084"/>
    <w:rsid w:val="00B05B62"/>
    <w:rsid w:val="00B05CE6"/>
    <w:rsid w:val="00B05F7B"/>
    <w:rsid w:val="00B06DC5"/>
    <w:rsid w:val="00B07499"/>
    <w:rsid w:val="00B10644"/>
    <w:rsid w:val="00B11396"/>
    <w:rsid w:val="00B120F5"/>
    <w:rsid w:val="00B12766"/>
    <w:rsid w:val="00B12B14"/>
    <w:rsid w:val="00B133A3"/>
    <w:rsid w:val="00B133CC"/>
    <w:rsid w:val="00B13514"/>
    <w:rsid w:val="00B13798"/>
    <w:rsid w:val="00B13C5C"/>
    <w:rsid w:val="00B13C9A"/>
    <w:rsid w:val="00B1423E"/>
    <w:rsid w:val="00B14925"/>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300F7"/>
    <w:rsid w:val="00B30929"/>
    <w:rsid w:val="00B30B4A"/>
    <w:rsid w:val="00B30CA5"/>
    <w:rsid w:val="00B30D0E"/>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D7"/>
    <w:rsid w:val="00B423F0"/>
    <w:rsid w:val="00B431EC"/>
    <w:rsid w:val="00B44834"/>
    <w:rsid w:val="00B44DED"/>
    <w:rsid w:val="00B45050"/>
    <w:rsid w:val="00B45793"/>
    <w:rsid w:val="00B4586E"/>
    <w:rsid w:val="00B45A52"/>
    <w:rsid w:val="00B45C17"/>
    <w:rsid w:val="00B46175"/>
    <w:rsid w:val="00B46C9B"/>
    <w:rsid w:val="00B46D5E"/>
    <w:rsid w:val="00B46F09"/>
    <w:rsid w:val="00B47BE8"/>
    <w:rsid w:val="00B5171D"/>
    <w:rsid w:val="00B519E3"/>
    <w:rsid w:val="00B5244B"/>
    <w:rsid w:val="00B527D5"/>
    <w:rsid w:val="00B53363"/>
    <w:rsid w:val="00B53930"/>
    <w:rsid w:val="00B53A62"/>
    <w:rsid w:val="00B53B3B"/>
    <w:rsid w:val="00B548B7"/>
    <w:rsid w:val="00B549F5"/>
    <w:rsid w:val="00B54A00"/>
    <w:rsid w:val="00B55186"/>
    <w:rsid w:val="00B553EF"/>
    <w:rsid w:val="00B55DD5"/>
    <w:rsid w:val="00B55FC9"/>
    <w:rsid w:val="00B568FD"/>
    <w:rsid w:val="00B56AC2"/>
    <w:rsid w:val="00B56E23"/>
    <w:rsid w:val="00B573BE"/>
    <w:rsid w:val="00B57A70"/>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80E"/>
    <w:rsid w:val="00B70D53"/>
    <w:rsid w:val="00B72B31"/>
    <w:rsid w:val="00B72C97"/>
    <w:rsid w:val="00B73085"/>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163D"/>
    <w:rsid w:val="00B81A32"/>
    <w:rsid w:val="00B81A6C"/>
    <w:rsid w:val="00B81EC0"/>
    <w:rsid w:val="00B81FF4"/>
    <w:rsid w:val="00B82665"/>
    <w:rsid w:val="00B8266A"/>
    <w:rsid w:val="00B827F4"/>
    <w:rsid w:val="00B82CED"/>
    <w:rsid w:val="00B8357A"/>
    <w:rsid w:val="00B836DD"/>
    <w:rsid w:val="00B8392B"/>
    <w:rsid w:val="00B84195"/>
    <w:rsid w:val="00B8458E"/>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2280"/>
    <w:rsid w:val="00BA2323"/>
    <w:rsid w:val="00BA2A08"/>
    <w:rsid w:val="00BA2D58"/>
    <w:rsid w:val="00BA41E5"/>
    <w:rsid w:val="00BA4DFD"/>
    <w:rsid w:val="00BA55EC"/>
    <w:rsid w:val="00BA56D2"/>
    <w:rsid w:val="00BA66CE"/>
    <w:rsid w:val="00BA6CF2"/>
    <w:rsid w:val="00BA6E8B"/>
    <w:rsid w:val="00BA7248"/>
    <w:rsid w:val="00BA76E0"/>
    <w:rsid w:val="00BB0320"/>
    <w:rsid w:val="00BB0625"/>
    <w:rsid w:val="00BB0D48"/>
    <w:rsid w:val="00BB100E"/>
    <w:rsid w:val="00BB16F0"/>
    <w:rsid w:val="00BB216D"/>
    <w:rsid w:val="00BB24A6"/>
    <w:rsid w:val="00BB2A25"/>
    <w:rsid w:val="00BB2CFD"/>
    <w:rsid w:val="00BB2DEE"/>
    <w:rsid w:val="00BB32EC"/>
    <w:rsid w:val="00BB3BF1"/>
    <w:rsid w:val="00BB3D94"/>
    <w:rsid w:val="00BB42D8"/>
    <w:rsid w:val="00BB4CEF"/>
    <w:rsid w:val="00BB51E9"/>
    <w:rsid w:val="00BB60EE"/>
    <w:rsid w:val="00BB676F"/>
    <w:rsid w:val="00BB7649"/>
    <w:rsid w:val="00BB7C16"/>
    <w:rsid w:val="00BC0035"/>
    <w:rsid w:val="00BC00CA"/>
    <w:rsid w:val="00BC0FDC"/>
    <w:rsid w:val="00BC1AF2"/>
    <w:rsid w:val="00BC251D"/>
    <w:rsid w:val="00BC29EB"/>
    <w:rsid w:val="00BC2AF5"/>
    <w:rsid w:val="00BC2C99"/>
    <w:rsid w:val="00BC3053"/>
    <w:rsid w:val="00BC37AB"/>
    <w:rsid w:val="00BC3F78"/>
    <w:rsid w:val="00BC4230"/>
    <w:rsid w:val="00BC45C2"/>
    <w:rsid w:val="00BC4A2A"/>
    <w:rsid w:val="00BC4B40"/>
    <w:rsid w:val="00BC4D2E"/>
    <w:rsid w:val="00BC4E25"/>
    <w:rsid w:val="00BC5DEC"/>
    <w:rsid w:val="00BC6302"/>
    <w:rsid w:val="00BC6C63"/>
    <w:rsid w:val="00BC6E64"/>
    <w:rsid w:val="00BC6EA9"/>
    <w:rsid w:val="00BC7703"/>
    <w:rsid w:val="00BC7AF3"/>
    <w:rsid w:val="00BD0629"/>
    <w:rsid w:val="00BD12EF"/>
    <w:rsid w:val="00BD287B"/>
    <w:rsid w:val="00BD2F8B"/>
    <w:rsid w:val="00BD3851"/>
    <w:rsid w:val="00BD4127"/>
    <w:rsid w:val="00BD48AC"/>
    <w:rsid w:val="00BD4D19"/>
    <w:rsid w:val="00BD5B3D"/>
    <w:rsid w:val="00BD5D20"/>
    <w:rsid w:val="00BD5F1A"/>
    <w:rsid w:val="00BD62FD"/>
    <w:rsid w:val="00BD79F6"/>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835"/>
    <w:rsid w:val="00BE536B"/>
    <w:rsid w:val="00BE58DE"/>
    <w:rsid w:val="00BE5B5D"/>
    <w:rsid w:val="00BE60EC"/>
    <w:rsid w:val="00BE6E01"/>
    <w:rsid w:val="00BE7406"/>
    <w:rsid w:val="00BE7603"/>
    <w:rsid w:val="00BF1155"/>
    <w:rsid w:val="00BF164E"/>
    <w:rsid w:val="00BF1B94"/>
    <w:rsid w:val="00BF24DC"/>
    <w:rsid w:val="00BF3208"/>
    <w:rsid w:val="00BF3279"/>
    <w:rsid w:val="00BF33D6"/>
    <w:rsid w:val="00BF3555"/>
    <w:rsid w:val="00BF4616"/>
    <w:rsid w:val="00BF4A22"/>
    <w:rsid w:val="00BF4C3F"/>
    <w:rsid w:val="00BF4C93"/>
    <w:rsid w:val="00BF5038"/>
    <w:rsid w:val="00BF7006"/>
    <w:rsid w:val="00BF74C7"/>
    <w:rsid w:val="00BF7E9D"/>
    <w:rsid w:val="00C00135"/>
    <w:rsid w:val="00C00188"/>
    <w:rsid w:val="00C005E4"/>
    <w:rsid w:val="00C00AEA"/>
    <w:rsid w:val="00C00BE4"/>
    <w:rsid w:val="00C013C1"/>
    <w:rsid w:val="00C015F1"/>
    <w:rsid w:val="00C0172A"/>
    <w:rsid w:val="00C01AF6"/>
    <w:rsid w:val="00C01BD2"/>
    <w:rsid w:val="00C01F33"/>
    <w:rsid w:val="00C02C6E"/>
    <w:rsid w:val="00C02CC6"/>
    <w:rsid w:val="00C0337B"/>
    <w:rsid w:val="00C03963"/>
    <w:rsid w:val="00C03C53"/>
    <w:rsid w:val="00C03D14"/>
    <w:rsid w:val="00C040F7"/>
    <w:rsid w:val="00C044AB"/>
    <w:rsid w:val="00C04530"/>
    <w:rsid w:val="00C0532F"/>
    <w:rsid w:val="00C05706"/>
    <w:rsid w:val="00C06B87"/>
    <w:rsid w:val="00C07377"/>
    <w:rsid w:val="00C0787C"/>
    <w:rsid w:val="00C078B0"/>
    <w:rsid w:val="00C07C82"/>
    <w:rsid w:val="00C100DA"/>
    <w:rsid w:val="00C103D9"/>
    <w:rsid w:val="00C1040E"/>
    <w:rsid w:val="00C10478"/>
    <w:rsid w:val="00C10584"/>
    <w:rsid w:val="00C106E5"/>
    <w:rsid w:val="00C1090C"/>
    <w:rsid w:val="00C112FA"/>
    <w:rsid w:val="00C11DED"/>
    <w:rsid w:val="00C11E11"/>
    <w:rsid w:val="00C11E4F"/>
    <w:rsid w:val="00C1204D"/>
    <w:rsid w:val="00C12107"/>
    <w:rsid w:val="00C12744"/>
    <w:rsid w:val="00C12BFE"/>
    <w:rsid w:val="00C13B08"/>
    <w:rsid w:val="00C14552"/>
    <w:rsid w:val="00C14963"/>
    <w:rsid w:val="00C14B76"/>
    <w:rsid w:val="00C14D4B"/>
    <w:rsid w:val="00C14E02"/>
    <w:rsid w:val="00C154BB"/>
    <w:rsid w:val="00C159A8"/>
    <w:rsid w:val="00C15A4F"/>
    <w:rsid w:val="00C165C4"/>
    <w:rsid w:val="00C169D8"/>
    <w:rsid w:val="00C16E7F"/>
    <w:rsid w:val="00C20486"/>
    <w:rsid w:val="00C20AC9"/>
    <w:rsid w:val="00C215F8"/>
    <w:rsid w:val="00C21864"/>
    <w:rsid w:val="00C218CC"/>
    <w:rsid w:val="00C21BFF"/>
    <w:rsid w:val="00C22032"/>
    <w:rsid w:val="00C221CA"/>
    <w:rsid w:val="00C225CD"/>
    <w:rsid w:val="00C225FC"/>
    <w:rsid w:val="00C22739"/>
    <w:rsid w:val="00C22ABC"/>
    <w:rsid w:val="00C22C85"/>
    <w:rsid w:val="00C2309B"/>
    <w:rsid w:val="00C232AC"/>
    <w:rsid w:val="00C2377D"/>
    <w:rsid w:val="00C23790"/>
    <w:rsid w:val="00C239C8"/>
    <w:rsid w:val="00C23E64"/>
    <w:rsid w:val="00C23FB7"/>
    <w:rsid w:val="00C24398"/>
    <w:rsid w:val="00C247F0"/>
    <w:rsid w:val="00C25389"/>
    <w:rsid w:val="00C25D41"/>
    <w:rsid w:val="00C25D52"/>
    <w:rsid w:val="00C27407"/>
    <w:rsid w:val="00C277C8"/>
    <w:rsid w:val="00C279B5"/>
    <w:rsid w:val="00C27B65"/>
    <w:rsid w:val="00C27C45"/>
    <w:rsid w:val="00C31D88"/>
    <w:rsid w:val="00C31DAF"/>
    <w:rsid w:val="00C31F4E"/>
    <w:rsid w:val="00C320BC"/>
    <w:rsid w:val="00C32368"/>
    <w:rsid w:val="00C324B1"/>
    <w:rsid w:val="00C33514"/>
    <w:rsid w:val="00C34189"/>
    <w:rsid w:val="00C342E2"/>
    <w:rsid w:val="00C347DD"/>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B5D"/>
    <w:rsid w:val="00C4453C"/>
    <w:rsid w:val="00C44600"/>
    <w:rsid w:val="00C447FD"/>
    <w:rsid w:val="00C4533C"/>
    <w:rsid w:val="00C45989"/>
    <w:rsid w:val="00C46963"/>
    <w:rsid w:val="00C46DBD"/>
    <w:rsid w:val="00C471A3"/>
    <w:rsid w:val="00C473A5"/>
    <w:rsid w:val="00C47C70"/>
    <w:rsid w:val="00C47EC8"/>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767"/>
    <w:rsid w:val="00C57326"/>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641A"/>
    <w:rsid w:val="00C671C4"/>
    <w:rsid w:val="00C67E54"/>
    <w:rsid w:val="00C700CB"/>
    <w:rsid w:val="00C70455"/>
    <w:rsid w:val="00C70697"/>
    <w:rsid w:val="00C7095F"/>
    <w:rsid w:val="00C71FC1"/>
    <w:rsid w:val="00C72093"/>
    <w:rsid w:val="00C723E3"/>
    <w:rsid w:val="00C7263A"/>
    <w:rsid w:val="00C72770"/>
    <w:rsid w:val="00C72EF4"/>
    <w:rsid w:val="00C72F1F"/>
    <w:rsid w:val="00C73E18"/>
    <w:rsid w:val="00C73E7A"/>
    <w:rsid w:val="00C7435A"/>
    <w:rsid w:val="00C7438C"/>
    <w:rsid w:val="00C744FE"/>
    <w:rsid w:val="00C74679"/>
    <w:rsid w:val="00C7471D"/>
    <w:rsid w:val="00C748DD"/>
    <w:rsid w:val="00C74B83"/>
    <w:rsid w:val="00C74BFE"/>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7CF"/>
    <w:rsid w:val="00C840BD"/>
    <w:rsid w:val="00C8431E"/>
    <w:rsid w:val="00C8482C"/>
    <w:rsid w:val="00C84882"/>
    <w:rsid w:val="00C8505E"/>
    <w:rsid w:val="00C85610"/>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631"/>
    <w:rsid w:val="00C95A0D"/>
    <w:rsid w:val="00C95B40"/>
    <w:rsid w:val="00C95C3E"/>
    <w:rsid w:val="00C95EE5"/>
    <w:rsid w:val="00C963C5"/>
    <w:rsid w:val="00C96B71"/>
    <w:rsid w:val="00C9731C"/>
    <w:rsid w:val="00C979E4"/>
    <w:rsid w:val="00C97B7D"/>
    <w:rsid w:val="00C97D41"/>
    <w:rsid w:val="00C97D90"/>
    <w:rsid w:val="00CA0ADE"/>
    <w:rsid w:val="00CA158A"/>
    <w:rsid w:val="00CA1883"/>
    <w:rsid w:val="00CA1ED8"/>
    <w:rsid w:val="00CA236A"/>
    <w:rsid w:val="00CA3221"/>
    <w:rsid w:val="00CA3390"/>
    <w:rsid w:val="00CA375E"/>
    <w:rsid w:val="00CA44C8"/>
    <w:rsid w:val="00CA500D"/>
    <w:rsid w:val="00CA5167"/>
    <w:rsid w:val="00CA53B2"/>
    <w:rsid w:val="00CA5E74"/>
    <w:rsid w:val="00CA620D"/>
    <w:rsid w:val="00CA623D"/>
    <w:rsid w:val="00CA6CAA"/>
    <w:rsid w:val="00CA7045"/>
    <w:rsid w:val="00CA7D6D"/>
    <w:rsid w:val="00CB1556"/>
    <w:rsid w:val="00CB1593"/>
    <w:rsid w:val="00CB17C5"/>
    <w:rsid w:val="00CB1F63"/>
    <w:rsid w:val="00CB2206"/>
    <w:rsid w:val="00CB2804"/>
    <w:rsid w:val="00CB2C83"/>
    <w:rsid w:val="00CB30E5"/>
    <w:rsid w:val="00CB3486"/>
    <w:rsid w:val="00CB3583"/>
    <w:rsid w:val="00CB423C"/>
    <w:rsid w:val="00CB4547"/>
    <w:rsid w:val="00CB4960"/>
    <w:rsid w:val="00CB536A"/>
    <w:rsid w:val="00CB5968"/>
    <w:rsid w:val="00CB5CA6"/>
    <w:rsid w:val="00CB5CC2"/>
    <w:rsid w:val="00CB6714"/>
    <w:rsid w:val="00CB6B3C"/>
    <w:rsid w:val="00CB6B53"/>
    <w:rsid w:val="00CB7170"/>
    <w:rsid w:val="00CB7B1F"/>
    <w:rsid w:val="00CC040E"/>
    <w:rsid w:val="00CC0489"/>
    <w:rsid w:val="00CC111F"/>
    <w:rsid w:val="00CC181A"/>
    <w:rsid w:val="00CC1FEA"/>
    <w:rsid w:val="00CC2011"/>
    <w:rsid w:val="00CC20AF"/>
    <w:rsid w:val="00CC235B"/>
    <w:rsid w:val="00CC23C0"/>
    <w:rsid w:val="00CC2400"/>
    <w:rsid w:val="00CC25EA"/>
    <w:rsid w:val="00CC30B8"/>
    <w:rsid w:val="00CC30DE"/>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D024A"/>
    <w:rsid w:val="00CD0865"/>
    <w:rsid w:val="00CD0CA9"/>
    <w:rsid w:val="00CD1188"/>
    <w:rsid w:val="00CD11EE"/>
    <w:rsid w:val="00CD1EE4"/>
    <w:rsid w:val="00CD2659"/>
    <w:rsid w:val="00CD2A3C"/>
    <w:rsid w:val="00CD2EC6"/>
    <w:rsid w:val="00CD2ED1"/>
    <w:rsid w:val="00CD2F5A"/>
    <w:rsid w:val="00CD337B"/>
    <w:rsid w:val="00CD3967"/>
    <w:rsid w:val="00CD3A48"/>
    <w:rsid w:val="00CD447B"/>
    <w:rsid w:val="00CD466E"/>
    <w:rsid w:val="00CD59B0"/>
    <w:rsid w:val="00CD7887"/>
    <w:rsid w:val="00CE0424"/>
    <w:rsid w:val="00CE097A"/>
    <w:rsid w:val="00CE0BF7"/>
    <w:rsid w:val="00CE0C12"/>
    <w:rsid w:val="00CE0E3C"/>
    <w:rsid w:val="00CE0E5B"/>
    <w:rsid w:val="00CE15A4"/>
    <w:rsid w:val="00CE1D87"/>
    <w:rsid w:val="00CE1F75"/>
    <w:rsid w:val="00CE2531"/>
    <w:rsid w:val="00CE2FC9"/>
    <w:rsid w:val="00CE365C"/>
    <w:rsid w:val="00CE484B"/>
    <w:rsid w:val="00CE4BE3"/>
    <w:rsid w:val="00CE502A"/>
    <w:rsid w:val="00CE5431"/>
    <w:rsid w:val="00CE595F"/>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24EE"/>
    <w:rsid w:val="00CF2710"/>
    <w:rsid w:val="00CF2885"/>
    <w:rsid w:val="00CF3B1F"/>
    <w:rsid w:val="00CF3BF6"/>
    <w:rsid w:val="00CF43A1"/>
    <w:rsid w:val="00CF47EF"/>
    <w:rsid w:val="00CF4829"/>
    <w:rsid w:val="00CF4F41"/>
    <w:rsid w:val="00CF5260"/>
    <w:rsid w:val="00CF531A"/>
    <w:rsid w:val="00CF6150"/>
    <w:rsid w:val="00CF625B"/>
    <w:rsid w:val="00CF63DC"/>
    <w:rsid w:val="00CF6651"/>
    <w:rsid w:val="00CF687E"/>
    <w:rsid w:val="00CF6BBF"/>
    <w:rsid w:val="00CF6FDA"/>
    <w:rsid w:val="00D004EF"/>
    <w:rsid w:val="00D00F9E"/>
    <w:rsid w:val="00D0244E"/>
    <w:rsid w:val="00D02775"/>
    <w:rsid w:val="00D02DAD"/>
    <w:rsid w:val="00D030F7"/>
    <w:rsid w:val="00D0349B"/>
    <w:rsid w:val="00D03E26"/>
    <w:rsid w:val="00D03FAB"/>
    <w:rsid w:val="00D044EB"/>
    <w:rsid w:val="00D0467F"/>
    <w:rsid w:val="00D0517B"/>
    <w:rsid w:val="00D0596C"/>
    <w:rsid w:val="00D0634C"/>
    <w:rsid w:val="00D0713C"/>
    <w:rsid w:val="00D07DFC"/>
    <w:rsid w:val="00D10249"/>
    <w:rsid w:val="00D10953"/>
    <w:rsid w:val="00D10CA0"/>
    <w:rsid w:val="00D10D6C"/>
    <w:rsid w:val="00D10DEC"/>
    <w:rsid w:val="00D113DD"/>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20128"/>
    <w:rsid w:val="00D208EA"/>
    <w:rsid w:val="00D20CD3"/>
    <w:rsid w:val="00D21306"/>
    <w:rsid w:val="00D2143B"/>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79D"/>
    <w:rsid w:val="00D44A01"/>
    <w:rsid w:val="00D4548A"/>
    <w:rsid w:val="00D45A6B"/>
    <w:rsid w:val="00D45BB6"/>
    <w:rsid w:val="00D45D51"/>
    <w:rsid w:val="00D46380"/>
    <w:rsid w:val="00D46B56"/>
    <w:rsid w:val="00D504EF"/>
    <w:rsid w:val="00D50829"/>
    <w:rsid w:val="00D52362"/>
    <w:rsid w:val="00D528A1"/>
    <w:rsid w:val="00D5314E"/>
    <w:rsid w:val="00D5346B"/>
    <w:rsid w:val="00D538B1"/>
    <w:rsid w:val="00D53AC8"/>
    <w:rsid w:val="00D53DAA"/>
    <w:rsid w:val="00D53EB1"/>
    <w:rsid w:val="00D546FF"/>
    <w:rsid w:val="00D552A6"/>
    <w:rsid w:val="00D555BF"/>
    <w:rsid w:val="00D55AD5"/>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3A7F"/>
    <w:rsid w:val="00D65183"/>
    <w:rsid w:val="00D652B5"/>
    <w:rsid w:val="00D6547D"/>
    <w:rsid w:val="00D656D3"/>
    <w:rsid w:val="00D66155"/>
    <w:rsid w:val="00D670A2"/>
    <w:rsid w:val="00D678B4"/>
    <w:rsid w:val="00D70375"/>
    <w:rsid w:val="00D708B0"/>
    <w:rsid w:val="00D70947"/>
    <w:rsid w:val="00D70B77"/>
    <w:rsid w:val="00D70B7C"/>
    <w:rsid w:val="00D70D93"/>
    <w:rsid w:val="00D714DC"/>
    <w:rsid w:val="00D7179A"/>
    <w:rsid w:val="00D71F0D"/>
    <w:rsid w:val="00D7359F"/>
    <w:rsid w:val="00D73E92"/>
    <w:rsid w:val="00D73F2B"/>
    <w:rsid w:val="00D7409C"/>
    <w:rsid w:val="00D74369"/>
    <w:rsid w:val="00D749D9"/>
    <w:rsid w:val="00D74A61"/>
    <w:rsid w:val="00D74FCE"/>
    <w:rsid w:val="00D75594"/>
    <w:rsid w:val="00D75B3D"/>
    <w:rsid w:val="00D76C62"/>
    <w:rsid w:val="00D76CC1"/>
    <w:rsid w:val="00D77549"/>
    <w:rsid w:val="00D7757E"/>
    <w:rsid w:val="00D776E8"/>
    <w:rsid w:val="00D777DB"/>
    <w:rsid w:val="00D77B1D"/>
    <w:rsid w:val="00D77C57"/>
    <w:rsid w:val="00D77DE9"/>
    <w:rsid w:val="00D8021F"/>
    <w:rsid w:val="00D80299"/>
    <w:rsid w:val="00D80383"/>
    <w:rsid w:val="00D804A7"/>
    <w:rsid w:val="00D81765"/>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5182"/>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175E"/>
    <w:rsid w:val="00DA24B2"/>
    <w:rsid w:val="00DA2755"/>
    <w:rsid w:val="00DA2FCB"/>
    <w:rsid w:val="00DA305E"/>
    <w:rsid w:val="00DA30A6"/>
    <w:rsid w:val="00DA3A13"/>
    <w:rsid w:val="00DA3AFB"/>
    <w:rsid w:val="00DA3E58"/>
    <w:rsid w:val="00DA3F87"/>
    <w:rsid w:val="00DA3F96"/>
    <w:rsid w:val="00DA4837"/>
    <w:rsid w:val="00DA4AA9"/>
    <w:rsid w:val="00DA5417"/>
    <w:rsid w:val="00DA55F5"/>
    <w:rsid w:val="00DA56E8"/>
    <w:rsid w:val="00DA5711"/>
    <w:rsid w:val="00DA59D8"/>
    <w:rsid w:val="00DA5EA7"/>
    <w:rsid w:val="00DA66D3"/>
    <w:rsid w:val="00DA6D53"/>
    <w:rsid w:val="00DA751E"/>
    <w:rsid w:val="00DA7881"/>
    <w:rsid w:val="00DA79E5"/>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560A"/>
    <w:rsid w:val="00DB5CEF"/>
    <w:rsid w:val="00DB5E33"/>
    <w:rsid w:val="00DB66C5"/>
    <w:rsid w:val="00DB741C"/>
    <w:rsid w:val="00DB75D9"/>
    <w:rsid w:val="00DB7F0A"/>
    <w:rsid w:val="00DC0408"/>
    <w:rsid w:val="00DC18D1"/>
    <w:rsid w:val="00DC1F58"/>
    <w:rsid w:val="00DC2785"/>
    <w:rsid w:val="00DC2D36"/>
    <w:rsid w:val="00DC35DC"/>
    <w:rsid w:val="00DC37E8"/>
    <w:rsid w:val="00DC38DC"/>
    <w:rsid w:val="00DC499F"/>
    <w:rsid w:val="00DC4E04"/>
    <w:rsid w:val="00DC5299"/>
    <w:rsid w:val="00DC53EF"/>
    <w:rsid w:val="00DC5FCB"/>
    <w:rsid w:val="00DC657E"/>
    <w:rsid w:val="00DC65F7"/>
    <w:rsid w:val="00DC6D45"/>
    <w:rsid w:val="00DC6F42"/>
    <w:rsid w:val="00DC7003"/>
    <w:rsid w:val="00DC7247"/>
    <w:rsid w:val="00DC7B6A"/>
    <w:rsid w:val="00DC7C4B"/>
    <w:rsid w:val="00DC7DC3"/>
    <w:rsid w:val="00DD0268"/>
    <w:rsid w:val="00DD0429"/>
    <w:rsid w:val="00DD046A"/>
    <w:rsid w:val="00DD0AE2"/>
    <w:rsid w:val="00DD1749"/>
    <w:rsid w:val="00DD2C53"/>
    <w:rsid w:val="00DD36DB"/>
    <w:rsid w:val="00DD4325"/>
    <w:rsid w:val="00DD495C"/>
    <w:rsid w:val="00DD4E59"/>
    <w:rsid w:val="00DD4FD3"/>
    <w:rsid w:val="00DD5898"/>
    <w:rsid w:val="00DD5C62"/>
    <w:rsid w:val="00DD5E07"/>
    <w:rsid w:val="00DD6103"/>
    <w:rsid w:val="00DD7B50"/>
    <w:rsid w:val="00DD7F37"/>
    <w:rsid w:val="00DD7F97"/>
    <w:rsid w:val="00DD7FB5"/>
    <w:rsid w:val="00DE03E6"/>
    <w:rsid w:val="00DE0439"/>
    <w:rsid w:val="00DE0B33"/>
    <w:rsid w:val="00DE0F8B"/>
    <w:rsid w:val="00DE1369"/>
    <w:rsid w:val="00DE13A9"/>
    <w:rsid w:val="00DE24E6"/>
    <w:rsid w:val="00DE2848"/>
    <w:rsid w:val="00DE2CF3"/>
    <w:rsid w:val="00DE3FB7"/>
    <w:rsid w:val="00DE4A50"/>
    <w:rsid w:val="00DE5206"/>
    <w:rsid w:val="00DE523A"/>
    <w:rsid w:val="00DE55AC"/>
    <w:rsid w:val="00DE5608"/>
    <w:rsid w:val="00DE58D0"/>
    <w:rsid w:val="00DE5CE1"/>
    <w:rsid w:val="00DE5E41"/>
    <w:rsid w:val="00DE654F"/>
    <w:rsid w:val="00DE682D"/>
    <w:rsid w:val="00DE6C13"/>
    <w:rsid w:val="00DE7B99"/>
    <w:rsid w:val="00DE7C4C"/>
    <w:rsid w:val="00DF002D"/>
    <w:rsid w:val="00DF01F0"/>
    <w:rsid w:val="00DF068A"/>
    <w:rsid w:val="00DF06C8"/>
    <w:rsid w:val="00DF0B6E"/>
    <w:rsid w:val="00DF0E7D"/>
    <w:rsid w:val="00DF11D4"/>
    <w:rsid w:val="00DF15E0"/>
    <w:rsid w:val="00DF207F"/>
    <w:rsid w:val="00DF2211"/>
    <w:rsid w:val="00DF323C"/>
    <w:rsid w:val="00DF3761"/>
    <w:rsid w:val="00DF37A0"/>
    <w:rsid w:val="00DF40A4"/>
    <w:rsid w:val="00DF4E01"/>
    <w:rsid w:val="00DF5085"/>
    <w:rsid w:val="00DF5B3C"/>
    <w:rsid w:val="00DF5C95"/>
    <w:rsid w:val="00DF5DE2"/>
    <w:rsid w:val="00DF6D47"/>
    <w:rsid w:val="00DF74BE"/>
    <w:rsid w:val="00E00A71"/>
    <w:rsid w:val="00E00D01"/>
    <w:rsid w:val="00E012EF"/>
    <w:rsid w:val="00E0166E"/>
    <w:rsid w:val="00E0196E"/>
    <w:rsid w:val="00E01C9A"/>
    <w:rsid w:val="00E0236B"/>
    <w:rsid w:val="00E0251B"/>
    <w:rsid w:val="00E02E71"/>
    <w:rsid w:val="00E0377A"/>
    <w:rsid w:val="00E03813"/>
    <w:rsid w:val="00E04F6C"/>
    <w:rsid w:val="00E058A0"/>
    <w:rsid w:val="00E05C75"/>
    <w:rsid w:val="00E05CD2"/>
    <w:rsid w:val="00E061F8"/>
    <w:rsid w:val="00E062B9"/>
    <w:rsid w:val="00E0677A"/>
    <w:rsid w:val="00E06E16"/>
    <w:rsid w:val="00E101D2"/>
    <w:rsid w:val="00E110E7"/>
    <w:rsid w:val="00E11228"/>
    <w:rsid w:val="00E11B20"/>
    <w:rsid w:val="00E12327"/>
    <w:rsid w:val="00E125E0"/>
    <w:rsid w:val="00E12842"/>
    <w:rsid w:val="00E12875"/>
    <w:rsid w:val="00E14BFF"/>
    <w:rsid w:val="00E15AAD"/>
    <w:rsid w:val="00E16570"/>
    <w:rsid w:val="00E1691A"/>
    <w:rsid w:val="00E17DD8"/>
    <w:rsid w:val="00E17FA2"/>
    <w:rsid w:val="00E2090F"/>
    <w:rsid w:val="00E21099"/>
    <w:rsid w:val="00E217BF"/>
    <w:rsid w:val="00E21837"/>
    <w:rsid w:val="00E21AC7"/>
    <w:rsid w:val="00E22169"/>
    <w:rsid w:val="00E22330"/>
    <w:rsid w:val="00E226D9"/>
    <w:rsid w:val="00E22EDA"/>
    <w:rsid w:val="00E241EE"/>
    <w:rsid w:val="00E245EE"/>
    <w:rsid w:val="00E247E9"/>
    <w:rsid w:val="00E25CCF"/>
    <w:rsid w:val="00E26167"/>
    <w:rsid w:val="00E262F2"/>
    <w:rsid w:val="00E26943"/>
    <w:rsid w:val="00E26CB7"/>
    <w:rsid w:val="00E272D4"/>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6C2C"/>
    <w:rsid w:val="00E36EF9"/>
    <w:rsid w:val="00E3723A"/>
    <w:rsid w:val="00E374D4"/>
    <w:rsid w:val="00E37860"/>
    <w:rsid w:val="00E40099"/>
    <w:rsid w:val="00E40473"/>
    <w:rsid w:val="00E40BA9"/>
    <w:rsid w:val="00E41073"/>
    <w:rsid w:val="00E41712"/>
    <w:rsid w:val="00E41735"/>
    <w:rsid w:val="00E422E4"/>
    <w:rsid w:val="00E4262C"/>
    <w:rsid w:val="00E42DFA"/>
    <w:rsid w:val="00E43457"/>
    <w:rsid w:val="00E43F44"/>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BD8"/>
    <w:rsid w:val="00E51E1A"/>
    <w:rsid w:val="00E53469"/>
    <w:rsid w:val="00E53B75"/>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6018F"/>
    <w:rsid w:val="00E6043F"/>
    <w:rsid w:val="00E60851"/>
    <w:rsid w:val="00E60E73"/>
    <w:rsid w:val="00E6180E"/>
    <w:rsid w:val="00E6280C"/>
    <w:rsid w:val="00E628A1"/>
    <w:rsid w:val="00E62C11"/>
    <w:rsid w:val="00E63838"/>
    <w:rsid w:val="00E63C1B"/>
    <w:rsid w:val="00E642D8"/>
    <w:rsid w:val="00E64434"/>
    <w:rsid w:val="00E6470C"/>
    <w:rsid w:val="00E651E2"/>
    <w:rsid w:val="00E653F5"/>
    <w:rsid w:val="00E659A6"/>
    <w:rsid w:val="00E66400"/>
    <w:rsid w:val="00E66993"/>
    <w:rsid w:val="00E67628"/>
    <w:rsid w:val="00E67B52"/>
    <w:rsid w:val="00E67C51"/>
    <w:rsid w:val="00E70033"/>
    <w:rsid w:val="00E709C3"/>
    <w:rsid w:val="00E70C67"/>
    <w:rsid w:val="00E7108E"/>
    <w:rsid w:val="00E714EC"/>
    <w:rsid w:val="00E71DD5"/>
    <w:rsid w:val="00E72EFC"/>
    <w:rsid w:val="00E732B3"/>
    <w:rsid w:val="00E73586"/>
    <w:rsid w:val="00E7380B"/>
    <w:rsid w:val="00E74410"/>
    <w:rsid w:val="00E745F1"/>
    <w:rsid w:val="00E74842"/>
    <w:rsid w:val="00E7547F"/>
    <w:rsid w:val="00E758EC"/>
    <w:rsid w:val="00E7631F"/>
    <w:rsid w:val="00E76548"/>
    <w:rsid w:val="00E76553"/>
    <w:rsid w:val="00E76604"/>
    <w:rsid w:val="00E766E1"/>
    <w:rsid w:val="00E767DC"/>
    <w:rsid w:val="00E76987"/>
    <w:rsid w:val="00E76BA3"/>
    <w:rsid w:val="00E7745F"/>
    <w:rsid w:val="00E77484"/>
    <w:rsid w:val="00E77DAF"/>
    <w:rsid w:val="00E80BDB"/>
    <w:rsid w:val="00E80C44"/>
    <w:rsid w:val="00E80F64"/>
    <w:rsid w:val="00E8150D"/>
    <w:rsid w:val="00E81584"/>
    <w:rsid w:val="00E81917"/>
    <w:rsid w:val="00E8234C"/>
    <w:rsid w:val="00E8236B"/>
    <w:rsid w:val="00E824D5"/>
    <w:rsid w:val="00E8252F"/>
    <w:rsid w:val="00E8256D"/>
    <w:rsid w:val="00E8269C"/>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73CC"/>
    <w:rsid w:val="00E87822"/>
    <w:rsid w:val="00E87C9C"/>
    <w:rsid w:val="00E90395"/>
    <w:rsid w:val="00E90E49"/>
    <w:rsid w:val="00E917F9"/>
    <w:rsid w:val="00E91886"/>
    <w:rsid w:val="00E91B88"/>
    <w:rsid w:val="00E9291C"/>
    <w:rsid w:val="00E92F62"/>
    <w:rsid w:val="00E93DA5"/>
    <w:rsid w:val="00E93FFE"/>
    <w:rsid w:val="00E9412B"/>
    <w:rsid w:val="00E94B57"/>
    <w:rsid w:val="00E94F8A"/>
    <w:rsid w:val="00E951D6"/>
    <w:rsid w:val="00E953E4"/>
    <w:rsid w:val="00E954A3"/>
    <w:rsid w:val="00E95654"/>
    <w:rsid w:val="00E96ABC"/>
    <w:rsid w:val="00E96C23"/>
    <w:rsid w:val="00E97097"/>
    <w:rsid w:val="00E97223"/>
    <w:rsid w:val="00E97E40"/>
    <w:rsid w:val="00E97FFA"/>
    <w:rsid w:val="00EA0A6E"/>
    <w:rsid w:val="00EA1330"/>
    <w:rsid w:val="00EA15F4"/>
    <w:rsid w:val="00EA1ACC"/>
    <w:rsid w:val="00EA1C44"/>
    <w:rsid w:val="00EA2104"/>
    <w:rsid w:val="00EA2A00"/>
    <w:rsid w:val="00EA2DA3"/>
    <w:rsid w:val="00EA3512"/>
    <w:rsid w:val="00EA4CF6"/>
    <w:rsid w:val="00EA4E77"/>
    <w:rsid w:val="00EA55F9"/>
    <w:rsid w:val="00EA57C5"/>
    <w:rsid w:val="00EA5C6C"/>
    <w:rsid w:val="00EA5CEB"/>
    <w:rsid w:val="00EA63C3"/>
    <w:rsid w:val="00EA6651"/>
    <w:rsid w:val="00EA6DC3"/>
    <w:rsid w:val="00EA70DC"/>
    <w:rsid w:val="00EA78D4"/>
    <w:rsid w:val="00EA7A19"/>
    <w:rsid w:val="00EA7A41"/>
    <w:rsid w:val="00EA7E1C"/>
    <w:rsid w:val="00EB077B"/>
    <w:rsid w:val="00EB0EBF"/>
    <w:rsid w:val="00EB1A19"/>
    <w:rsid w:val="00EB1E53"/>
    <w:rsid w:val="00EB2544"/>
    <w:rsid w:val="00EB2562"/>
    <w:rsid w:val="00EB2960"/>
    <w:rsid w:val="00EB347C"/>
    <w:rsid w:val="00EB3F72"/>
    <w:rsid w:val="00EB46F6"/>
    <w:rsid w:val="00EB4A31"/>
    <w:rsid w:val="00EB4BB5"/>
    <w:rsid w:val="00EB4EA2"/>
    <w:rsid w:val="00EB5DF7"/>
    <w:rsid w:val="00EB64A7"/>
    <w:rsid w:val="00EB64C3"/>
    <w:rsid w:val="00EB66DB"/>
    <w:rsid w:val="00EB6AE7"/>
    <w:rsid w:val="00EB6EE5"/>
    <w:rsid w:val="00EB6FDB"/>
    <w:rsid w:val="00EB76CB"/>
    <w:rsid w:val="00EB776A"/>
    <w:rsid w:val="00EB7AD7"/>
    <w:rsid w:val="00EB7E04"/>
    <w:rsid w:val="00EC052D"/>
    <w:rsid w:val="00EC0A9A"/>
    <w:rsid w:val="00EC0DE3"/>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DF5"/>
    <w:rsid w:val="00ED0FA8"/>
    <w:rsid w:val="00ED1006"/>
    <w:rsid w:val="00ED11DD"/>
    <w:rsid w:val="00ED1644"/>
    <w:rsid w:val="00ED1D44"/>
    <w:rsid w:val="00ED2769"/>
    <w:rsid w:val="00ED29EA"/>
    <w:rsid w:val="00ED314F"/>
    <w:rsid w:val="00ED31F8"/>
    <w:rsid w:val="00ED3915"/>
    <w:rsid w:val="00ED43F6"/>
    <w:rsid w:val="00ED5329"/>
    <w:rsid w:val="00ED565A"/>
    <w:rsid w:val="00ED5A6E"/>
    <w:rsid w:val="00ED5EC8"/>
    <w:rsid w:val="00ED5F71"/>
    <w:rsid w:val="00ED5FEE"/>
    <w:rsid w:val="00ED60D7"/>
    <w:rsid w:val="00ED6579"/>
    <w:rsid w:val="00ED6E7E"/>
    <w:rsid w:val="00ED7C83"/>
    <w:rsid w:val="00ED7D47"/>
    <w:rsid w:val="00ED7E04"/>
    <w:rsid w:val="00ED7EDC"/>
    <w:rsid w:val="00EE021B"/>
    <w:rsid w:val="00EE0D0A"/>
    <w:rsid w:val="00EE11F0"/>
    <w:rsid w:val="00EE1DE7"/>
    <w:rsid w:val="00EE259D"/>
    <w:rsid w:val="00EE280C"/>
    <w:rsid w:val="00EE2E29"/>
    <w:rsid w:val="00EE3262"/>
    <w:rsid w:val="00EE32FA"/>
    <w:rsid w:val="00EE33FC"/>
    <w:rsid w:val="00EE34D3"/>
    <w:rsid w:val="00EE4339"/>
    <w:rsid w:val="00EE457C"/>
    <w:rsid w:val="00EE6737"/>
    <w:rsid w:val="00EE6A4F"/>
    <w:rsid w:val="00EE728D"/>
    <w:rsid w:val="00EE731C"/>
    <w:rsid w:val="00EE7B91"/>
    <w:rsid w:val="00EE7BB0"/>
    <w:rsid w:val="00EE7D53"/>
    <w:rsid w:val="00EE7ED2"/>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25E"/>
    <w:rsid w:val="00F147D2"/>
    <w:rsid w:val="00F14E55"/>
    <w:rsid w:val="00F15159"/>
    <w:rsid w:val="00F1562F"/>
    <w:rsid w:val="00F15996"/>
    <w:rsid w:val="00F15FA5"/>
    <w:rsid w:val="00F16588"/>
    <w:rsid w:val="00F16C98"/>
    <w:rsid w:val="00F16CCD"/>
    <w:rsid w:val="00F16DD1"/>
    <w:rsid w:val="00F16E7F"/>
    <w:rsid w:val="00F17554"/>
    <w:rsid w:val="00F178D3"/>
    <w:rsid w:val="00F17D98"/>
    <w:rsid w:val="00F17F5E"/>
    <w:rsid w:val="00F209B7"/>
    <w:rsid w:val="00F20A20"/>
    <w:rsid w:val="00F20A21"/>
    <w:rsid w:val="00F21237"/>
    <w:rsid w:val="00F2168B"/>
    <w:rsid w:val="00F21742"/>
    <w:rsid w:val="00F2177A"/>
    <w:rsid w:val="00F21F34"/>
    <w:rsid w:val="00F21FC3"/>
    <w:rsid w:val="00F22BD5"/>
    <w:rsid w:val="00F23336"/>
    <w:rsid w:val="00F2376F"/>
    <w:rsid w:val="00F238CA"/>
    <w:rsid w:val="00F243B0"/>
    <w:rsid w:val="00F243D8"/>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33B7"/>
    <w:rsid w:val="00F3396A"/>
    <w:rsid w:val="00F33D16"/>
    <w:rsid w:val="00F33FF8"/>
    <w:rsid w:val="00F340F0"/>
    <w:rsid w:val="00F34CF2"/>
    <w:rsid w:val="00F353CC"/>
    <w:rsid w:val="00F35991"/>
    <w:rsid w:val="00F35DDA"/>
    <w:rsid w:val="00F36616"/>
    <w:rsid w:val="00F3676D"/>
    <w:rsid w:val="00F36FA6"/>
    <w:rsid w:val="00F36FE6"/>
    <w:rsid w:val="00F4009B"/>
    <w:rsid w:val="00F400E3"/>
    <w:rsid w:val="00F402DE"/>
    <w:rsid w:val="00F40506"/>
    <w:rsid w:val="00F40895"/>
    <w:rsid w:val="00F40977"/>
    <w:rsid w:val="00F40EDF"/>
    <w:rsid w:val="00F40F0C"/>
    <w:rsid w:val="00F4162B"/>
    <w:rsid w:val="00F41C28"/>
    <w:rsid w:val="00F41E1B"/>
    <w:rsid w:val="00F421AE"/>
    <w:rsid w:val="00F4226C"/>
    <w:rsid w:val="00F43C36"/>
    <w:rsid w:val="00F43D4B"/>
    <w:rsid w:val="00F43E32"/>
    <w:rsid w:val="00F44CC0"/>
    <w:rsid w:val="00F45173"/>
    <w:rsid w:val="00F4578F"/>
    <w:rsid w:val="00F468E9"/>
    <w:rsid w:val="00F46EF1"/>
    <w:rsid w:val="00F4766C"/>
    <w:rsid w:val="00F47695"/>
    <w:rsid w:val="00F47C04"/>
    <w:rsid w:val="00F47D0F"/>
    <w:rsid w:val="00F47F68"/>
    <w:rsid w:val="00F5060E"/>
    <w:rsid w:val="00F507D1"/>
    <w:rsid w:val="00F50C74"/>
    <w:rsid w:val="00F511C3"/>
    <w:rsid w:val="00F51253"/>
    <w:rsid w:val="00F519CE"/>
    <w:rsid w:val="00F51ADA"/>
    <w:rsid w:val="00F51B6E"/>
    <w:rsid w:val="00F51CAE"/>
    <w:rsid w:val="00F51D77"/>
    <w:rsid w:val="00F5386D"/>
    <w:rsid w:val="00F5594B"/>
    <w:rsid w:val="00F55BDD"/>
    <w:rsid w:val="00F562D0"/>
    <w:rsid w:val="00F56388"/>
    <w:rsid w:val="00F56E25"/>
    <w:rsid w:val="00F57B39"/>
    <w:rsid w:val="00F60203"/>
    <w:rsid w:val="00F607C5"/>
    <w:rsid w:val="00F60AF3"/>
    <w:rsid w:val="00F60DEA"/>
    <w:rsid w:val="00F619FF"/>
    <w:rsid w:val="00F61BEA"/>
    <w:rsid w:val="00F621A5"/>
    <w:rsid w:val="00F623A4"/>
    <w:rsid w:val="00F62954"/>
    <w:rsid w:val="00F6302A"/>
    <w:rsid w:val="00F63335"/>
    <w:rsid w:val="00F63950"/>
    <w:rsid w:val="00F63E38"/>
    <w:rsid w:val="00F64133"/>
    <w:rsid w:val="00F643F2"/>
    <w:rsid w:val="00F6456F"/>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870"/>
    <w:rsid w:val="00F70A85"/>
    <w:rsid w:val="00F71116"/>
    <w:rsid w:val="00F71F69"/>
    <w:rsid w:val="00F72128"/>
    <w:rsid w:val="00F725E2"/>
    <w:rsid w:val="00F72A4C"/>
    <w:rsid w:val="00F72B72"/>
    <w:rsid w:val="00F73610"/>
    <w:rsid w:val="00F738F6"/>
    <w:rsid w:val="00F73D37"/>
    <w:rsid w:val="00F740B5"/>
    <w:rsid w:val="00F740CD"/>
    <w:rsid w:val="00F74A0C"/>
    <w:rsid w:val="00F74AD7"/>
    <w:rsid w:val="00F74BB9"/>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798"/>
    <w:rsid w:val="00F853DF"/>
    <w:rsid w:val="00F856A7"/>
    <w:rsid w:val="00F8572F"/>
    <w:rsid w:val="00F859D8"/>
    <w:rsid w:val="00F863AF"/>
    <w:rsid w:val="00F8678E"/>
    <w:rsid w:val="00F868F5"/>
    <w:rsid w:val="00F86BC2"/>
    <w:rsid w:val="00F87877"/>
    <w:rsid w:val="00F901AD"/>
    <w:rsid w:val="00F904AD"/>
    <w:rsid w:val="00F9056A"/>
    <w:rsid w:val="00F9064B"/>
    <w:rsid w:val="00F909D2"/>
    <w:rsid w:val="00F90B15"/>
    <w:rsid w:val="00F90F8D"/>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17C"/>
    <w:rsid w:val="00FA33FF"/>
    <w:rsid w:val="00FA3914"/>
    <w:rsid w:val="00FA39E7"/>
    <w:rsid w:val="00FA3D46"/>
    <w:rsid w:val="00FA4186"/>
    <w:rsid w:val="00FA4CAA"/>
    <w:rsid w:val="00FA52D7"/>
    <w:rsid w:val="00FA62CF"/>
    <w:rsid w:val="00FA66A8"/>
    <w:rsid w:val="00FA6A75"/>
    <w:rsid w:val="00FA6CE1"/>
    <w:rsid w:val="00FA7867"/>
    <w:rsid w:val="00FA7D3B"/>
    <w:rsid w:val="00FB019F"/>
    <w:rsid w:val="00FB10AA"/>
    <w:rsid w:val="00FB145F"/>
    <w:rsid w:val="00FB1740"/>
    <w:rsid w:val="00FB1BBD"/>
    <w:rsid w:val="00FB25A4"/>
    <w:rsid w:val="00FB2D17"/>
    <w:rsid w:val="00FB302A"/>
    <w:rsid w:val="00FB3199"/>
    <w:rsid w:val="00FB4036"/>
    <w:rsid w:val="00FB406A"/>
    <w:rsid w:val="00FB40EF"/>
    <w:rsid w:val="00FB434D"/>
    <w:rsid w:val="00FB47C1"/>
    <w:rsid w:val="00FB4A6C"/>
    <w:rsid w:val="00FB4C80"/>
    <w:rsid w:val="00FB5320"/>
    <w:rsid w:val="00FB673B"/>
    <w:rsid w:val="00FB6A6A"/>
    <w:rsid w:val="00FB702D"/>
    <w:rsid w:val="00FC010A"/>
    <w:rsid w:val="00FC011C"/>
    <w:rsid w:val="00FC0981"/>
    <w:rsid w:val="00FC31AE"/>
    <w:rsid w:val="00FC35BF"/>
    <w:rsid w:val="00FC415D"/>
    <w:rsid w:val="00FC43C3"/>
    <w:rsid w:val="00FC4C31"/>
    <w:rsid w:val="00FC4CA0"/>
    <w:rsid w:val="00FC5CFE"/>
    <w:rsid w:val="00FC5E34"/>
    <w:rsid w:val="00FC66FF"/>
    <w:rsid w:val="00FC6B40"/>
    <w:rsid w:val="00FC6CDE"/>
    <w:rsid w:val="00FC71B4"/>
    <w:rsid w:val="00FC7218"/>
    <w:rsid w:val="00FC7429"/>
    <w:rsid w:val="00FC7893"/>
    <w:rsid w:val="00FC7CA2"/>
    <w:rsid w:val="00FD076F"/>
    <w:rsid w:val="00FD07F6"/>
    <w:rsid w:val="00FD1D4F"/>
    <w:rsid w:val="00FD1EC8"/>
    <w:rsid w:val="00FD2494"/>
    <w:rsid w:val="00FD2D08"/>
    <w:rsid w:val="00FD2D9E"/>
    <w:rsid w:val="00FD45CC"/>
    <w:rsid w:val="00FD47ED"/>
    <w:rsid w:val="00FD4931"/>
    <w:rsid w:val="00FD4B10"/>
    <w:rsid w:val="00FD52A9"/>
    <w:rsid w:val="00FD579F"/>
    <w:rsid w:val="00FD5805"/>
    <w:rsid w:val="00FD5AB5"/>
    <w:rsid w:val="00FD6026"/>
    <w:rsid w:val="00FD69C4"/>
    <w:rsid w:val="00FD7050"/>
    <w:rsid w:val="00FD732A"/>
    <w:rsid w:val="00FD74DB"/>
    <w:rsid w:val="00FD7660"/>
    <w:rsid w:val="00FE054C"/>
    <w:rsid w:val="00FE0655"/>
    <w:rsid w:val="00FE0A8B"/>
    <w:rsid w:val="00FE0A9B"/>
    <w:rsid w:val="00FE0B24"/>
    <w:rsid w:val="00FE0E2B"/>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EE6"/>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510"/>
    <w:rsid w:val="00FF7596"/>
    <w:rsid w:val="03BDBC84"/>
    <w:rsid w:val="04F8CF6F"/>
    <w:rsid w:val="2B985DB2"/>
    <w:rsid w:val="2DD5D81F"/>
    <w:rsid w:val="2DE754A3"/>
    <w:rsid w:val="2F3878CB"/>
    <w:rsid w:val="2F98B499"/>
    <w:rsid w:val="47684657"/>
    <w:rsid w:val="4A4D8C6C"/>
    <w:rsid w:val="4CAC3A4D"/>
    <w:rsid w:val="552F6B58"/>
    <w:rsid w:val="5738DBA4"/>
    <w:rsid w:val="5F83D14C"/>
    <w:rsid w:val="61B8CCFB"/>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7-e/Docs/R1-2112142.zip" TargetMode="External"/><Relationship Id="rId18" Type="http://schemas.openxmlformats.org/officeDocument/2006/relationships/hyperlink" Target="https://www.3gpp.org/ftp/tsg_ran/WG1_RL1/TSGR1_107-e/Docs/R1-2112142.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7-e/Docs/R1-2112363.zip" TargetMode="External"/><Relationship Id="rId2" Type="http://schemas.openxmlformats.org/officeDocument/2006/relationships/customXml" Target="../customXml/item2.xml"/><Relationship Id="rId16" Type="http://schemas.openxmlformats.org/officeDocument/2006/relationships/hyperlink" Target="https://www.3gpp.org/ftp/tsg_ran/WG1_RL1/TSGR1_107-e/Docs/R1-2112900.zip" TargetMode="External"/><Relationship Id="rId20" Type="http://schemas.openxmlformats.org/officeDocument/2006/relationships/hyperlink" Target="https://www.3gpp.org/ftp/tsg_ran/WG1_RL1/TSGR1_107-e/Docs/R1-211290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07-e/Inbox/R1-2112902.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1_RL1/TSGR1_107-e/Docs/R1-211290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7-e/Inbox/R1-2112900.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5NUHHDQN7SK2-1476151046-511495</_dlc_DocId>
    <_dlc_DocIdUrl xmlns="f166a696-7b5b-4ccd-9f0c-ffde0cceec81">
      <Url>https://ericsson.sharepoint.com/sites/star/_layouts/15/DocIdRedir.aspx?ID=5NUHHDQN7SK2-1476151046-511495</Url>
      <Description>5NUHHDQN7SK2-1476151046-511495</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1B717CC-7485-4FA6-9402-1427531C123B}">
  <ds:schemaRefs>
    <ds:schemaRef ds:uri="Microsoft.SharePoint.Taxonomy.ContentTypeSync"/>
  </ds:schemaRefs>
</ds:datastoreItem>
</file>

<file path=customXml/itemProps2.xml><?xml version="1.0" encoding="utf-8"?>
<ds:datastoreItem xmlns:ds="http://schemas.openxmlformats.org/officeDocument/2006/customXml" ds:itemID="{240A84D9-A239-48BB-9EF8-246DD26FA435}">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5.xml><?xml version="1.0" encoding="utf-8"?>
<ds:datastoreItem xmlns:ds="http://schemas.openxmlformats.org/officeDocument/2006/customXml" ds:itemID="{D290AE2B-24BC-4F73-9F72-25A632904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BED2FB4-46E0-43DD-8E62-5A64CD11066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130</TotalTime>
  <Pages>8</Pages>
  <Words>3209</Words>
  <Characters>17053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13</cp:revision>
  <cp:lastPrinted>2008-01-30T22:09:00Z</cp:lastPrinted>
  <dcterms:created xsi:type="dcterms:W3CDTF">2022-02-01T15:21:00Z</dcterms:created>
  <dcterms:modified xsi:type="dcterms:W3CDTF">2022-02-14T11:32:00Z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71ca473f-214a-4521-9564-2f221153e8d4</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